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C02" w:rsidRDefault="008A1C02" w:rsidP="007F56C1">
      <w:pPr>
        <w:tabs>
          <w:tab w:val="left" w:pos="8789"/>
        </w:tabs>
        <w:jc w:val="center"/>
        <w:rPr>
          <w:b/>
          <w:u w:val="single"/>
          <w:lang w:val="es-ES"/>
        </w:rPr>
      </w:pPr>
    </w:p>
    <w:p w:rsidR="00640287" w:rsidRDefault="00640287" w:rsidP="007F56C1">
      <w:pPr>
        <w:tabs>
          <w:tab w:val="left" w:pos="8789"/>
        </w:tabs>
        <w:jc w:val="center"/>
        <w:rPr>
          <w:b/>
          <w:sz w:val="24"/>
          <w:szCs w:val="24"/>
          <w:lang w:val="es-ES"/>
        </w:rPr>
      </w:pPr>
    </w:p>
    <w:p w:rsidR="00060DA3" w:rsidRPr="00E41161" w:rsidRDefault="00060DA3" w:rsidP="00060DA3">
      <w:pPr>
        <w:rPr>
          <w:rFonts w:ascii="Arial" w:hAnsi="Arial" w:cs="Arial"/>
          <w:b/>
          <w:sz w:val="32"/>
          <w:szCs w:val="32"/>
          <w:lang w:eastAsia="es-ES_tradnl"/>
        </w:rPr>
      </w:pPr>
      <w:r w:rsidRPr="00E41161">
        <w:rPr>
          <w:rFonts w:ascii="Arial" w:hAnsi="Arial" w:cs="Arial"/>
          <w:b/>
          <w:sz w:val="32"/>
          <w:szCs w:val="32"/>
          <w:lang w:eastAsia="es-ES_tradnl"/>
        </w:rPr>
        <w:t xml:space="preserve">El presupuesto del Departamento de Medio Ambiente, Planificación Territorial y Vivienda </w:t>
      </w:r>
      <w:r>
        <w:rPr>
          <w:rFonts w:ascii="Arial" w:hAnsi="Arial" w:cs="Arial"/>
          <w:b/>
          <w:sz w:val="32"/>
          <w:szCs w:val="32"/>
          <w:lang w:eastAsia="es-ES_tradnl"/>
        </w:rPr>
        <w:t>se incrementa</w:t>
      </w:r>
      <w:r w:rsidRPr="00E41161">
        <w:rPr>
          <w:rFonts w:ascii="Arial" w:hAnsi="Arial" w:cs="Arial"/>
          <w:b/>
          <w:sz w:val="32"/>
          <w:szCs w:val="32"/>
          <w:lang w:eastAsia="es-ES_tradnl"/>
        </w:rPr>
        <w:t xml:space="preserve"> un 7,2% </w:t>
      </w:r>
      <w:r>
        <w:rPr>
          <w:rFonts w:ascii="Arial" w:hAnsi="Arial" w:cs="Arial"/>
          <w:b/>
          <w:sz w:val="32"/>
          <w:szCs w:val="32"/>
          <w:lang w:eastAsia="es-ES_tradnl"/>
        </w:rPr>
        <w:t xml:space="preserve">y cuenta este año con </w:t>
      </w:r>
      <w:r w:rsidR="00107B00">
        <w:rPr>
          <w:rFonts w:ascii="Arial" w:hAnsi="Arial" w:cs="Arial"/>
          <w:b/>
          <w:sz w:val="32"/>
          <w:szCs w:val="32"/>
          <w:lang w:eastAsia="es-ES_tradnl"/>
        </w:rPr>
        <w:t>205,9</w:t>
      </w:r>
      <w:r>
        <w:rPr>
          <w:rFonts w:ascii="Arial" w:hAnsi="Arial" w:cs="Arial"/>
          <w:b/>
          <w:sz w:val="32"/>
          <w:szCs w:val="32"/>
          <w:lang w:eastAsia="es-ES_tradnl"/>
        </w:rPr>
        <w:t xml:space="preserve"> millones</w:t>
      </w:r>
      <w:r w:rsidR="00A42D85">
        <w:rPr>
          <w:rFonts w:ascii="Arial" w:hAnsi="Arial" w:cs="Arial"/>
          <w:b/>
          <w:sz w:val="32"/>
          <w:szCs w:val="32"/>
          <w:lang w:eastAsia="es-ES_tradnl"/>
        </w:rPr>
        <w:t xml:space="preserve"> de euros</w:t>
      </w:r>
      <w:r>
        <w:rPr>
          <w:rFonts w:ascii="Arial" w:hAnsi="Arial" w:cs="Arial"/>
          <w:b/>
          <w:sz w:val="32"/>
          <w:szCs w:val="32"/>
          <w:lang w:eastAsia="es-ES_tradnl"/>
        </w:rPr>
        <w:t xml:space="preserve"> </w:t>
      </w:r>
    </w:p>
    <w:p w:rsidR="002B20BC" w:rsidRDefault="002B20BC" w:rsidP="00823601">
      <w:pPr>
        <w:spacing w:line="400" w:lineRule="exact"/>
        <w:rPr>
          <w:rFonts w:ascii="Arial" w:hAnsi="Arial" w:cs="Arial"/>
          <w:b/>
          <w:sz w:val="32"/>
          <w:szCs w:val="32"/>
        </w:rPr>
      </w:pPr>
    </w:p>
    <w:p w:rsidR="002B20BC" w:rsidRDefault="002B20BC" w:rsidP="007B37E4">
      <w:pPr>
        <w:rPr>
          <w:rFonts w:ascii="Arial" w:hAnsi="Arial" w:cs="Arial"/>
          <w:b/>
          <w:sz w:val="32"/>
          <w:szCs w:val="32"/>
        </w:rPr>
      </w:pPr>
    </w:p>
    <w:p w:rsidR="00060DA3" w:rsidRPr="00F87F61" w:rsidRDefault="00060DA3" w:rsidP="00060DA3">
      <w:pPr>
        <w:pStyle w:val="Prrafodelista"/>
        <w:numPr>
          <w:ilvl w:val="0"/>
          <w:numId w:val="14"/>
        </w:numPr>
        <w:spacing w:after="200" w:line="276" w:lineRule="auto"/>
        <w:rPr>
          <w:rFonts w:ascii="Arial" w:hAnsi="Arial" w:cs="Arial"/>
          <w:b/>
          <w:sz w:val="24"/>
          <w:szCs w:val="24"/>
          <w:lang w:eastAsia="es-ES_tradnl"/>
        </w:rPr>
      </w:pPr>
      <w:r w:rsidRPr="00F87F61">
        <w:rPr>
          <w:rFonts w:ascii="Arial" w:hAnsi="Arial" w:cs="Arial"/>
          <w:b/>
          <w:sz w:val="24"/>
          <w:szCs w:val="24"/>
          <w:lang w:eastAsia="es-ES_tradnl"/>
        </w:rPr>
        <w:t>Las polític</w:t>
      </w:r>
      <w:r w:rsidR="00936B84">
        <w:rPr>
          <w:rFonts w:ascii="Arial" w:hAnsi="Arial" w:cs="Arial"/>
          <w:b/>
          <w:sz w:val="24"/>
          <w:szCs w:val="24"/>
          <w:lang w:eastAsia="es-ES_tradnl"/>
        </w:rPr>
        <w:t>as de vivienda dispondrán de 327,5</w:t>
      </w:r>
      <w:r w:rsidRPr="00F87F61">
        <w:rPr>
          <w:rFonts w:ascii="Arial" w:hAnsi="Arial" w:cs="Arial"/>
          <w:b/>
          <w:sz w:val="24"/>
          <w:szCs w:val="24"/>
          <w:lang w:eastAsia="es-ES_tradnl"/>
        </w:rPr>
        <w:t xml:space="preserve"> millones</w:t>
      </w:r>
      <w:r w:rsidR="008C5420">
        <w:rPr>
          <w:rFonts w:ascii="Arial" w:hAnsi="Arial" w:cs="Arial"/>
          <w:b/>
          <w:sz w:val="24"/>
          <w:szCs w:val="24"/>
          <w:lang w:eastAsia="es-ES_tradnl"/>
        </w:rPr>
        <w:t xml:space="preserve"> si se suman</w:t>
      </w:r>
      <w:r w:rsidRPr="00F87F61">
        <w:rPr>
          <w:rFonts w:ascii="Arial" w:hAnsi="Arial" w:cs="Arial"/>
          <w:b/>
          <w:sz w:val="24"/>
          <w:szCs w:val="24"/>
          <w:lang w:eastAsia="es-ES_tradnl"/>
        </w:rPr>
        <w:t xml:space="preserve"> </w:t>
      </w:r>
      <w:r w:rsidR="008C5420">
        <w:rPr>
          <w:rFonts w:ascii="Arial" w:hAnsi="Arial" w:cs="Arial"/>
          <w:b/>
          <w:sz w:val="24"/>
          <w:szCs w:val="24"/>
          <w:lang w:eastAsia="es-ES_tradnl"/>
        </w:rPr>
        <w:t>al programa del Departamento</w:t>
      </w:r>
      <w:r w:rsidR="00936B84">
        <w:rPr>
          <w:rFonts w:ascii="Arial" w:hAnsi="Arial" w:cs="Arial"/>
          <w:b/>
          <w:sz w:val="24"/>
          <w:szCs w:val="24"/>
          <w:lang w:eastAsia="es-ES_tradnl"/>
        </w:rPr>
        <w:t xml:space="preserve"> (126,9)</w:t>
      </w:r>
      <w:r w:rsidR="008C5420">
        <w:rPr>
          <w:rFonts w:ascii="Arial" w:hAnsi="Arial" w:cs="Arial"/>
          <w:b/>
          <w:sz w:val="24"/>
          <w:szCs w:val="24"/>
          <w:lang w:eastAsia="es-ES_tradnl"/>
        </w:rPr>
        <w:t xml:space="preserve"> los presupuestos de </w:t>
      </w:r>
      <w:r w:rsidRPr="00F87F61">
        <w:rPr>
          <w:rFonts w:ascii="Arial" w:hAnsi="Arial" w:cs="Arial"/>
          <w:b/>
          <w:sz w:val="24"/>
          <w:szCs w:val="24"/>
          <w:lang w:eastAsia="es-ES_tradnl"/>
        </w:rPr>
        <w:t xml:space="preserve">las </w:t>
      </w:r>
      <w:r w:rsidR="00936B84">
        <w:rPr>
          <w:rFonts w:ascii="Arial" w:hAnsi="Arial" w:cs="Arial"/>
          <w:b/>
          <w:sz w:val="24"/>
          <w:szCs w:val="24"/>
          <w:lang w:eastAsia="es-ES_tradnl"/>
        </w:rPr>
        <w:t>sociedades públicas Alokabide (77,8</w:t>
      </w:r>
      <w:r w:rsidRPr="00F87F61">
        <w:rPr>
          <w:rFonts w:ascii="Arial" w:hAnsi="Arial" w:cs="Arial"/>
          <w:b/>
          <w:sz w:val="24"/>
          <w:szCs w:val="24"/>
          <w:lang w:eastAsia="es-ES_tradnl"/>
        </w:rPr>
        <w:t>) y Visesa (</w:t>
      </w:r>
      <w:r w:rsidR="00936B84">
        <w:rPr>
          <w:rFonts w:ascii="Arial" w:hAnsi="Arial" w:cs="Arial"/>
          <w:b/>
          <w:sz w:val="24"/>
          <w:szCs w:val="24"/>
        </w:rPr>
        <w:t>122,7</w:t>
      </w:r>
      <w:r w:rsidRPr="00F87F61">
        <w:rPr>
          <w:rFonts w:ascii="Arial" w:hAnsi="Arial" w:cs="Arial"/>
          <w:b/>
          <w:sz w:val="24"/>
          <w:szCs w:val="24"/>
          <w:lang w:eastAsia="es-ES_tradnl"/>
        </w:rPr>
        <w:t>)</w:t>
      </w:r>
    </w:p>
    <w:p w:rsidR="007B37E4" w:rsidRDefault="007B37E4" w:rsidP="007B37E4">
      <w:pPr>
        <w:rPr>
          <w:rFonts w:ascii="Arial" w:hAnsi="Arial" w:cs="Arial"/>
        </w:rPr>
      </w:pPr>
    </w:p>
    <w:p w:rsidR="00060DA3" w:rsidRPr="00060DA3" w:rsidRDefault="00060DA3" w:rsidP="00060DA3">
      <w:pPr>
        <w:spacing w:line="300" w:lineRule="exact"/>
        <w:rPr>
          <w:rFonts w:ascii="Arial" w:hAnsi="Arial" w:cs="Arial"/>
          <w:sz w:val="22"/>
          <w:szCs w:val="22"/>
          <w:lang w:eastAsia="es-ES_tradnl"/>
        </w:rPr>
      </w:pPr>
      <w:r w:rsidRPr="00060DA3">
        <w:rPr>
          <w:rFonts w:ascii="Arial" w:hAnsi="Arial" w:cs="Arial"/>
          <w:sz w:val="22"/>
          <w:szCs w:val="22"/>
          <w:lang w:eastAsia="es-ES_tradnl"/>
        </w:rPr>
        <w:t xml:space="preserve">El Departamento de Medio Ambiente, Planificación Territorial </w:t>
      </w:r>
      <w:r w:rsidR="00107B00">
        <w:rPr>
          <w:rFonts w:ascii="Arial" w:hAnsi="Arial" w:cs="Arial"/>
          <w:sz w:val="22"/>
          <w:szCs w:val="22"/>
          <w:lang w:eastAsia="es-ES_tradnl"/>
        </w:rPr>
        <w:t>y Vivienda va a disponer en 2018 de un presupuesto de 205,9</w:t>
      </w:r>
      <w:r w:rsidRPr="00060DA3">
        <w:rPr>
          <w:rFonts w:ascii="Arial" w:hAnsi="Arial" w:cs="Arial"/>
          <w:sz w:val="22"/>
          <w:szCs w:val="22"/>
          <w:lang w:eastAsia="es-ES_tradnl"/>
        </w:rPr>
        <w:t xml:space="preserve"> millones de euros, lo que supone un incremento del 7,2% s</w:t>
      </w:r>
      <w:r w:rsidR="00107B00">
        <w:rPr>
          <w:rFonts w:ascii="Arial" w:hAnsi="Arial" w:cs="Arial"/>
          <w:sz w:val="22"/>
          <w:szCs w:val="22"/>
          <w:lang w:eastAsia="es-ES_tradnl"/>
        </w:rPr>
        <w:t>obre el gasto disponible en 2017</w:t>
      </w:r>
      <w:r w:rsidRPr="00060DA3">
        <w:rPr>
          <w:rFonts w:ascii="Arial" w:hAnsi="Arial" w:cs="Arial"/>
          <w:sz w:val="22"/>
          <w:szCs w:val="22"/>
          <w:lang w:eastAsia="es-ES_tradnl"/>
        </w:rPr>
        <w:t xml:space="preserve">. </w:t>
      </w:r>
      <w:r w:rsidR="00107B00">
        <w:rPr>
          <w:rFonts w:ascii="Arial" w:hAnsi="Arial" w:cs="Arial"/>
          <w:sz w:val="22"/>
          <w:szCs w:val="22"/>
          <w:lang w:eastAsia="es-ES_tradnl"/>
        </w:rPr>
        <w:t>Se trata</w:t>
      </w:r>
      <w:r w:rsidR="008C5420">
        <w:rPr>
          <w:rFonts w:ascii="Arial" w:hAnsi="Arial" w:cs="Arial"/>
          <w:sz w:val="22"/>
          <w:szCs w:val="22"/>
          <w:lang w:eastAsia="es-ES_tradnl"/>
        </w:rPr>
        <w:t xml:space="preserve"> </w:t>
      </w:r>
      <w:r w:rsidR="00107B00">
        <w:rPr>
          <w:rFonts w:ascii="Arial" w:hAnsi="Arial" w:cs="Arial"/>
          <w:sz w:val="22"/>
          <w:szCs w:val="22"/>
          <w:lang w:eastAsia="es-ES_tradnl"/>
        </w:rPr>
        <w:t xml:space="preserve">del Departamento que más crece en términos </w:t>
      </w:r>
      <w:r w:rsidR="00B932AD">
        <w:rPr>
          <w:rFonts w:ascii="Arial" w:hAnsi="Arial" w:cs="Arial"/>
          <w:sz w:val="22"/>
          <w:szCs w:val="22"/>
          <w:lang w:eastAsia="es-ES_tradnl"/>
        </w:rPr>
        <w:t>porcentuales</w:t>
      </w:r>
      <w:bookmarkStart w:id="0" w:name="_GoBack"/>
      <w:bookmarkEnd w:id="0"/>
      <w:r w:rsidR="00107B00">
        <w:rPr>
          <w:rFonts w:ascii="Arial" w:hAnsi="Arial" w:cs="Arial"/>
          <w:sz w:val="22"/>
          <w:szCs w:val="22"/>
          <w:lang w:eastAsia="es-ES_tradnl"/>
        </w:rPr>
        <w:t xml:space="preserve">.  </w:t>
      </w:r>
    </w:p>
    <w:p w:rsidR="00060DA3" w:rsidRPr="00060DA3" w:rsidRDefault="00060DA3" w:rsidP="00060DA3">
      <w:pPr>
        <w:spacing w:line="300" w:lineRule="exact"/>
        <w:rPr>
          <w:rFonts w:ascii="Arial" w:hAnsi="Arial" w:cs="Arial"/>
          <w:sz w:val="22"/>
          <w:szCs w:val="22"/>
          <w:lang w:eastAsia="es-ES_tradnl"/>
        </w:rPr>
      </w:pPr>
    </w:p>
    <w:p w:rsidR="00936B84" w:rsidRDefault="00060DA3" w:rsidP="00936B84">
      <w:pPr>
        <w:spacing w:line="300" w:lineRule="exact"/>
        <w:rPr>
          <w:rFonts w:cstheme="minorHAnsi"/>
          <w:sz w:val="32"/>
          <w:szCs w:val="32"/>
        </w:rPr>
      </w:pPr>
      <w:r w:rsidRPr="00060DA3">
        <w:rPr>
          <w:rFonts w:ascii="Arial" w:hAnsi="Arial" w:cs="Arial"/>
          <w:sz w:val="22"/>
          <w:szCs w:val="22"/>
          <w:lang w:eastAsia="es-ES_tradnl"/>
        </w:rPr>
        <w:t>La cantidad más importante en términos absolutos correspo</w:t>
      </w:r>
      <w:r w:rsidR="00107B00">
        <w:rPr>
          <w:rFonts w:ascii="Arial" w:hAnsi="Arial" w:cs="Arial"/>
          <w:sz w:val="22"/>
          <w:szCs w:val="22"/>
          <w:lang w:eastAsia="es-ES_tradnl"/>
        </w:rPr>
        <w:t>nde al área de Vivienda, con 126,9</w:t>
      </w:r>
      <w:r w:rsidRPr="00060DA3">
        <w:rPr>
          <w:rFonts w:ascii="Arial" w:hAnsi="Arial" w:cs="Arial"/>
          <w:sz w:val="22"/>
          <w:szCs w:val="22"/>
          <w:lang w:eastAsia="es-ES_tradnl"/>
        </w:rPr>
        <w:t xml:space="preserve"> millones de e</w:t>
      </w:r>
      <w:r w:rsidR="008C5420">
        <w:rPr>
          <w:rFonts w:ascii="Arial" w:hAnsi="Arial" w:cs="Arial"/>
          <w:sz w:val="22"/>
          <w:szCs w:val="22"/>
          <w:lang w:eastAsia="es-ES_tradnl"/>
        </w:rPr>
        <w:t xml:space="preserve">uros; una </w:t>
      </w:r>
      <w:r w:rsidR="00936B84">
        <w:rPr>
          <w:rFonts w:ascii="Arial" w:hAnsi="Arial" w:cs="Arial"/>
          <w:sz w:val="22"/>
          <w:szCs w:val="22"/>
          <w:lang w:eastAsia="es-ES_tradnl"/>
        </w:rPr>
        <w:t>cuantía que asciende a 327,5</w:t>
      </w:r>
      <w:r w:rsidRPr="00060DA3">
        <w:rPr>
          <w:rFonts w:ascii="Arial" w:hAnsi="Arial" w:cs="Arial"/>
          <w:sz w:val="22"/>
          <w:szCs w:val="22"/>
          <w:lang w:eastAsia="es-ES_tradnl"/>
        </w:rPr>
        <w:t xml:space="preserve"> millones si se suman los presupuestos de sus sociedad</w:t>
      </w:r>
      <w:r w:rsidR="00936B84">
        <w:rPr>
          <w:rFonts w:ascii="Arial" w:hAnsi="Arial" w:cs="Arial"/>
          <w:sz w:val="22"/>
          <w:szCs w:val="22"/>
          <w:lang w:eastAsia="es-ES_tradnl"/>
        </w:rPr>
        <w:t>es públicas Alokabide y Visesa</w:t>
      </w:r>
      <w:r w:rsidR="00183CDB">
        <w:rPr>
          <w:rFonts w:cstheme="minorHAnsi"/>
          <w:sz w:val="32"/>
          <w:szCs w:val="32"/>
        </w:rPr>
        <w:t xml:space="preserve">. </w:t>
      </w:r>
    </w:p>
    <w:p w:rsidR="00060DA3" w:rsidRPr="00060DA3" w:rsidRDefault="00060DA3" w:rsidP="00060DA3">
      <w:pPr>
        <w:spacing w:line="300" w:lineRule="exact"/>
        <w:rPr>
          <w:rFonts w:ascii="Arial" w:hAnsi="Arial" w:cs="Arial"/>
          <w:sz w:val="22"/>
          <w:szCs w:val="22"/>
          <w:lang w:eastAsia="es-ES_tradnl"/>
        </w:rPr>
      </w:pPr>
    </w:p>
    <w:p w:rsidR="00060DA3" w:rsidRPr="00060DA3" w:rsidRDefault="00060DA3" w:rsidP="00060DA3">
      <w:pPr>
        <w:spacing w:line="300" w:lineRule="exact"/>
        <w:rPr>
          <w:rFonts w:ascii="Arial" w:hAnsi="Arial" w:cs="Arial"/>
          <w:sz w:val="22"/>
          <w:szCs w:val="22"/>
          <w:lang w:eastAsia="es-ES_tradnl"/>
        </w:rPr>
      </w:pPr>
      <w:r w:rsidRPr="00060DA3">
        <w:rPr>
          <w:rFonts w:ascii="Arial" w:hAnsi="Arial" w:cs="Arial"/>
          <w:sz w:val="22"/>
          <w:szCs w:val="22"/>
          <w:lang w:eastAsia="es-ES_tradnl"/>
        </w:rPr>
        <w:t xml:space="preserve">El área de </w:t>
      </w:r>
      <w:r w:rsidRPr="00060DA3">
        <w:rPr>
          <w:rFonts w:ascii="Arial" w:hAnsi="Arial" w:cs="Arial"/>
          <w:sz w:val="22"/>
          <w:szCs w:val="22"/>
        </w:rPr>
        <w:t>Medio Ambiente</w:t>
      </w:r>
      <w:r w:rsidR="00936B84">
        <w:rPr>
          <w:rFonts w:ascii="Arial" w:hAnsi="Arial" w:cs="Arial"/>
          <w:sz w:val="22"/>
          <w:szCs w:val="22"/>
        </w:rPr>
        <w:t>, por su parte</w:t>
      </w:r>
      <w:r w:rsidR="008C5420">
        <w:rPr>
          <w:rFonts w:ascii="Arial" w:hAnsi="Arial" w:cs="Arial"/>
          <w:sz w:val="22"/>
          <w:szCs w:val="22"/>
        </w:rPr>
        <w:t>,</w:t>
      </w:r>
      <w:r w:rsidR="00936B84">
        <w:rPr>
          <w:rFonts w:ascii="Arial" w:hAnsi="Arial" w:cs="Arial"/>
          <w:sz w:val="22"/>
          <w:szCs w:val="22"/>
        </w:rPr>
        <w:t xml:space="preserve"> va a gestionar 64,9</w:t>
      </w:r>
      <w:r w:rsidRPr="00060DA3">
        <w:rPr>
          <w:rFonts w:ascii="Arial" w:hAnsi="Arial" w:cs="Arial"/>
          <w:sz w:val="22"/>
          <w:szCs w:val="22"/>
        </w:rPr>
        <w:t xml:space="preserve"> millones y la de Planificación Territorial, </w:t>
      </w:r>
      <w:r w:rsidR="00936B84">
        <w:rPr>
          <w:rFonts w:ascii="Arial" w:hAnsi="Arial" w:cs="Arial"/>
          <w:sz w:val="22"/>
          <w:szCs w:val="22"/>
        </w:rPr>
        <w:t>7,9</w:t>
      </w:r>
      <w:r w:rsidRPr="00060DA3">
        <w:rPr>
          <w:rFonts w:ascii="Arial" w:hAnsi="Arial" w:cs="Arial"/>
          <w:sz w:val="22"/>
          <w:szCs w:val="22"/>
        </w:rPr>
        <w:t xml:space="preserve"> millones. </w:t>
      </w:r>
    </w:p>
    <w:p w:rsidR="00060DA3" w:rsidRDefault="00060DA3" w:rsidP="00060DA3">
      <w:pPr>
        <w:spacing w:after="240" w:line="300" w:lineRule="exact"/>
        <w:rPr>
          <w:rFonts w:ascii="Arial" w:hAnsi="Arial" w:cs="Arial"/>
          <w:b/>
          <w:sz w:val="22"/>
          <w:szCs w:val="22"/>
          <w:u w:val="single"/>
        </w:rPr>
      </w:pPr>
    </w:p>
    <w:p w:rsidR="00060DA3" w:rsidRPr="000E6FBD" w:rsidRDefault="000E6FBD" w:rsidP="00060DA3">
      <w:pPr>
        <w:spacing w:after="240" w:line="300" w:lineRule="exact"/>
        <w:rPr>
          <w:rFonts w:ascii="Arial" w:hAnsi="Arial" w:cs="Arial"/>
          <w:b/>
          <w:sz w:val="24"/>
          <w:szCs w:val="24"/>
          <w:u w:val="single"/>
        </w:rPr>
      </w:pPr>
      <w:r w:rsidRPr="000E6FBD">
        <w:rPr>
          <w:rFonts w:ascii="Arial" w:hAnsi="Arial" w:cs="Arial"/>
          <w:b/>
          <w:sz w:val="24"/>
          <w:szCs w:val="24"/>
          <w:u w:val="single"/>
        </w:rPr>
        <w:t>MEDIO AMBIENTE</w:t>
      </w:r>
    </w:p>
    <w:p w:rsidR="00060DA3" w:rsidRPr="00060DA3" w:rsidRDefault="00060DA3" w:rsidP="00060DA3">
      <w:pPr>
        <w:spacing w:after="240" w:line="300" w:lineRule="exact"/>
        <w:rPr>
          <w:rFonts w:ascii="Arial" w:hAnsi="Arial" w:cs="Arial"/>
          <w:sz w:val="22"/>
          <w:szCs w:val="22"/>
        </w:rPr>
      </w:pPr>
      <w:r w:rsidRPr="00060DA3">
        <w:rPr>
          <w:rFonts w:ascii="Arial" w:hAnsi="Arial" w:cs="Arial"/>
          <w:sz w:val="22"/>
          <w:szCs w:val="22"/>
        </w:rPr>
        <w:t>El presupuesto del área medioambiental se articula en torno a los 6 objetivos estratégicos fijados para este ejercicio.</w:t>
      </w:r>
    </w:p>
    <w:p w:rsidR="00060DA3" w:rsidRPr="00060DA3" w:rsidRDefault="00060DA3" w:rsidP="00060DA3">
      <w:pPr>
        <w:pStyle w:val="Prrafodelista"/>
        <w:numPr>
          <w:ilvl w:val="0"/>
          <w:numId w:val="15"/>
        </w:numPr>
        <w:tabs>
          <w:tab w:val="left" w:pos="8789"/>
        </w:tabs>
        <w:spacing w:line="300" w:lineRule="exact"/>
        <w:jc w:val="left"/>
        <w:rPr>
          <w:rFonts w:ascii="Arial" w:hAnsi="Arial" w:cs="Arial"/>
          <w:sz w:val="22"/>
          <w:szCs w:val="22"/>
        </w:rPr>
      </w:pPr>
      <w:r w:rsidRPr="00060DA3">
        <w:rPr>
          <w:rFonts w:ascii="Arial" w:hAnsi="Arial" w:cs="Arial"/>
          <w:b/>
          <w:sz w:val="22"/>
          <w:szCs w:val="22"/>
        </w:rPr>
        <w:t>Protección del Patrimonio Natural</w:t>
      </w:r>
      <w:r w:rsidRPr="00060DA3">
        <w:rPr>
          <w:rFonts w:ascii="Arial" w:hAnsi="Arial" w:cs="Arial"/>
          <w:sz w:val="22"/>
          <w:szCs w:val="22"/>
        </w:rPr>
        <w:t xml:space="preserve"> (patrimonio natural, reserva de Urdaibai, restauración de la bahía de Txingudi, r</w:t>
      </w:r>
      <w:r w:rsidR="008C5420">
        <w:rPr>
          <w:rFonts w:ascii="Arial" w:hAnsi="Arial" w:cs="Arial"/>
          <w:sz w:val="22"/>
          <w:szCs w:val="22"/>
        </w:rPr>
        <w:t>estauraciones ambientales, ZEC-</w:t>
      </w:r>
      <w:r w:rsidRPr="00060DA3">
        <w:rPr>
          <w:rFonts w:ascii="Arial" w:hAnsi="Arial" w:cs="Arial"/>
          <w:sz w:val="22"/>
          <w:szCs w:val="22"/>
        </w:rPr>
        <w:t>Red Natura 2000, proyectos de investigación, custodia del territorio, geodiv</w:t>
      </w:r>
      <w:r w:rsidR="0009707D">
        <w:rPr>
          <w:rFonts w:ascii="Arial" w:hAnsi="Arial" w:cs="Arial"/>
          <w:sz w:val="22"/>
          <w:szCs w:val="22"/>
        </w:rPr>
        <w:t>ersidad) con un presupuesto de 4,4</w:t>
      </w:r>
      <w:r w:rsidRPr="00060DA3">
        <w:rPr>
          <w:rFonts w:ascii="Arial" w:hAnsi="Arial" w:cs="Arial"/>
          <w:sz w:val="22"/>
          <w:szCs w:val="22"/>
        </w:rPr>
        <w:t xml:space="preserve"> millones de euros</w:t>
      </w:r>
      <w:r w:rsidR="0009707D">
        <w:rPr>
          <w:rFonts w:ascii="Arial" w:hAnsi="Arial" w:cs="Arial"/>
          <w:sz w:val="22"/>
          <w:szCs w:val="22"/>
        </w:rPr>
        <w:t xml:space="preserve"> de</w:t>
      </w:r>
      <w:r w:rsidR="00183CDB">
        <w:rPr>
          <w:rFonts w:ascii="Arial" w:hAnsi="Arial" w:cs="Arial"/>
          <w:sz w:val="22"/>
          <w:szCs w:val="22"/>
        </w:rPr>
        <w:t xml:space="preserve"> </w:t>
      </w:r>
      <w:r w:rsidR="0009707D">
        <w:rPr>
          <w:rFonts w:ascii="Arial" w:hAnsi="Arial" w:cs="Arial"/>
          <w:sz w:val="22"/>
          <w:szCs w:val="22"/>
        </w:rPr>
        <w:t>l</w:t>
      </w:r>
      <w:r w:rsidR="00183CDB">
        <w:rPr>
          <w:rFonts w:ascii="Arial" w:hAnsi="Arial" w:cs="Arial"/>
          <w:sz w:val="22"/>
          <w:szCs w:val="22"/>
        </w:rPr>
        <w:t>a</w:t>
      </w:r>
      <w:r w:rsidR="0009707D">
        <w:rPr>
          <w:rFonts w:ascii="Arial" w:hAnsi="Arial" w:cs="Arial"/>
          <w:sz w:val="22"/>
          <w:szCs w:val="22"/>
        </w:rPr>
        <w:t xml:space="preserve"> </w:t>
      </w:r>
      <w:r w:rsidR="00183CDB">
        <w:rPr>
          <w:rFonts w:ascii="Arial" w:hAnsi="Arial" w:cs="Arial"/>
          <w:sz w:val="22"/>
          <w:szCs w:val="22"/>
        </w:rPr>
        <w:t>Dirección de Patrimonio Natural</w:t>
      </w:r>
      <w:r w:rsidR="0009707D">
        <w:rPr>
          <w:rFonts w:ascii="Arial" w:hAnsi="Arial" w:cs="Arial"/>
          <w:sz w:val="22"/>
          <w:szCs w:val="22"/>
        </w:rPr>
        <w:t xml:space="preserve"> y 130.000 euros de Ihobe</w:t>
      </w:r>
      <w:r w:rsidRPr="00060DA3">
        <w:rPr>
          <w:rFonts w:ascii="Arial" w:hAnsi="Arial" w:cs="Arial"/>
          <w:sz w:val="22"/>
          <w:szCs w:val="22"/>
        </w:rPr>
        <w:t>.</w:t>
      </w:r>
    </w:p>
    <w:p w:rsidR="0009707D" w:rsidRPr="0009707D" w:rsidRDefault="00060DA3" w:rsidP="0009707D">
      <w:pPr>
        <w:pStyle w:val="Prrafodelista"/>
        <w:numPr>
          <w:ilvl w:val="0"/>
          <w:numId w:val="15"/>
        </w:numPr>
        <w:tabs>
          <w:tab w:val="left" w:pos="8789"/>
        </w:tabs>
        <w:spacing w:line="300" w:lineRule="exact"/>
        <w:rPr>
          <w:rFonts w:ascii="Arial" w:hAnsi="Arial" w:cs="Arial"/>
          <w:sz w:val="22"/>
          <w:szCs w:val="22"/>
        </w:rPr>
      </w:pPr>
      <w:r w:rsidRPr="00060DA3">
        <w:rPr>
          <w:rFonts w:ascii="Arial" w:hAnsi="Arial" w:cs="Arial"/>
          <w:b/>
          <w:sz w:val="22"/>
          <w:szCs w:val="22"/>
        </w:rPr>
        <w:t xml:space="preserve">Economía baja en carbono y eficiente en recursos. </w:t>
      </w:r>
      <w:r w:rsidR="0009707D" w:rsidRPr="0009707D">
        <w:rPr>
          <w:rFonts w:ascii="Arial" w:hAnsi="Arial" w:cs="Arial"/>
          <w:sz w:val="22"/>
          <w:szCs w:val="22"/>
        </w:rPr>
        <w:t>Las actuaciones en economía circular, gestión de residuos y cambio climático cuentan con un presupuesto de casi 2 millones de euros (</w:t>
      </w:r>
      <w:r w:rsidR="0009707D" w:rsidRPr="0009707D">
        <w:rPr>
          <w:rFonts w:ascii="Arial" w:hAnsi="Arial" w:cs="Arial"/>
          <w:b/>
          <w:sz w:val="22"/>
          <w:szCs w:val="22"/>
        </w:rPr>
        <w:t xml:space="preserve">400.000 euros </w:t>
      </w:r>
      <w:r w:rsidR="0009707D" w:rsidRPr="0009707D">
        <w:rPr>
          <w:rFonts w:ascii="Arial" w:hAnsi="Arial" w:cs="Arial"/>
          <w:sz w:val="22"/>
          <w:szCs w:val="22"/>
        </w:rPr>
        <w:t>de la</w:t>
      </w:r>
      <w:r w:rsidR="0009707D" w:rsidRPr="0009707D">
        <w:rPr>
          <w:rFonts w:ascii="Arial" w:hAnsi="Arial" w:cs="Arial"/>
          <w:b/>
          <w:sz w:val="22"/>
          <w:szCs w:val="22"/>
        </w:rPr>
        <w:t xml:space="preserve"> </w:t>
      </w:r>
      <w:r w:rsidR="0009707D" w:rsidRPr="0009707D">
        <w:rPr>
          <w:rFonts w:ascii="Arial" w:hAnsi="Arial" w:cs="Arial"/>
          <w:sz w:val="22"/>
          <w:szCs w:val="22"/>
        </w:rPr>
        <w:t xml:space="preserve">Dirección de Patrimonio Natural y </w:t>
      </w:r>
      <w:r w:rsidR="0009707D" w:rsidRPr="008C5420">
        <w:rPr>
          <w:rFonts w:ascii="Arial" w:hAnsi="Arial" w:cs="Arial"/>
          <w:b/>
          <w:sz w:val="22"/>
          <w:szCs w:val="22"/>
        </w:rPr>
        <w:t>1,5 millones</w:t>
      </w:r>
      <w:r w:rsidR="0009707D" w:rsidRPr="0009707D">
        <w:rPr>
          <w:rFonts w:ascii="Arial" w:hAnsi="Arial" w:cs="Arial"/>
          <w:sz w:val="22"/>
          <w:szCs w:val="22"/>
        </w:rPr>
        <w:t xml:space="preserve"> de Ihobe</w:t>
      </w:r>
      <w:r w:rsidR="0009707D">
        <w:rPr>
          <w:rFonts w:ascii="Arial" w:hAnsi="Arial" w:cs="Arial"/>
          <w:sz w:val="22"/>
          <w:szCs w:val="22"/>
        </w:rPr>
        <w:t>)</w:t>
      </w:r>
      <w:r w:rsidR="0009707D" w:rsidRPr="0009707D">
        <w:rPr>
          <w:rFonts w:ascii="Arial" w:hAnsi="Arial" w:cs="Arial"/>
          <w:sz w:val="22"/>
          <w:szCs w:val="22"/>
        </w:rPr>
        <w:t xml:space="preserve">. </w:t>
      </w:r>
    </w:p>
    <w:p w:rsidR="00060DA3" w:rsidRDefault="00060DA3" w:rsidP="0009707D">
      <w:pPr>
        <w:pStyle w:val="Prrafodelista"/>
        <w:numPr>
          <w:ilvl w:val="0"/>
          <w:numId w:val="15"/>
        </w:numPr>
        <w:tabs>
          <w:tab w:val="left" w:pos="8789"/>
        </w:tabs>
        <w:spacing w:line="300" w:lineRule="exact"/>
        <w:rPr>
          <w:rFonts w:ascii="Arial" w:hAnsi="Arial" w:cs="Arial"/>
          <w:sz w:val="22"/>
          <w:szCs w:val="22"/>
        </w:rPr>
      </w:pPr>
      <w:r w:rsidRPr="0009707D">
        <w:rPr>
          <w:rFonts w:ascii="Arial" w:hAnsi="Arial" w:cs="Arial"/>
          <w:b/>
          <w:sz w:val="22"/>
          <w:szCs w:val="22"/>
        </w:rPr>
        <w:t>Medio ambiente saludable. Calidad ambiental</w:t>
      </w:r>
      <w:r w:rsidR="00895820" w:rsidRPr="0009707D">
        <w:rPr>
          <w:rFonts w:ascii="Arial" w:hAnsi="Arial" w:cs="Arial"/>
          <w:b/>
          <w:sz w:val="22"/>
          <w:szCs w:val="22"/>
        </w:rPr>
        <w:t>,</w:t>
      </w:r>
      <w:r w:rsidRPr="0009707D">
        <w:rPr>
          <w:rFonts w:ascii="Arial" w:hAnsi="Arial" w:cs="Arial"/>
          <w:b/>
          <w:sz w:val="22"/>
          <w:szCs w:val="22"/>
        </w:rPr>
        <w:t xml:space="preserve"> </w:t>
      </w:r>
      <w:r w:rsidRPr="0009707D">
        <w:rPr>
          <w:rFonts w:ascii="Arial" w:hAnsi="Arial" w:cs="Arial"/>
          <w:sz w:val="22"/>
          <w:szCs w:val="22"/>
        </w:rPr>
        <w:t>que c</w:t>
      </w:r>
      <w:r w:rsidR="000E6FBD" w:rsidRPr="0009707D">
        <w:rPr>
          <w:rFonts w:ascii="Arial" w:hAnsi="Arial" w:cs="Arial"/>
          <w:sz w:val="22"/>
          <w:szCs w:val="22"/>
        </w:rPr>
        <w:t xml:space="preserve">uenta con un presupuesto de </w:t>
      </w:r>
      <w:r w:rsidR="0009707D">
        <w:rPr>
          <w:rFonts w:ascii="Arial" w:hAnsi="Arial" w:cs="Arial"/>
          <w:sz w:val="22"/>
          <w:szCs w:val="22"/>
        </w:rPr>
        <w:t>casi 3 millones de euros (</w:t>
      </w:r>
      <w:r w:rsidR="0009707D" w:rsidRPr="0009707D">
        <w:rPr>
          <w:rFonts w:ascii="Arial" w:hAnsi="Arial" w:cs="Arial"/>
          <w:b/>
          <w:sz w:val="22"/>
          <w:szCs w:val="22"/>
        </w:rPr>
        <w:t>2.682.950 euros</w:t>
      </w:r>
      <w:r w:rsidR="0009707D" w:rsidRPr="0009707D">
        <w:rPr>
          <w:rFonts w:ascii="Arial" w:hAnsi="Arial" w:cs="Arial"/>
          <w:sz w:val="22"/>
          <w:szCs w:val="22"/>
        </w:rPr>
        <w:t xml:space="preserve"> desde la Dirección de Administración Ambiental y </w:t>
      </w:r>
      <w:r w:rsidR="0009707D" w:rsidRPr="0009707D">
        <w:rPr>
          <w:rFonts w:ascii="Arial" w:hAnsi="Arial" w:cs="Arial"/>
          <w:b/>
          <w:sz w:val="22"/>
          <w:szCs w:val="22"/>
        </w:rPr>
        <w:t>1.217.189</w:t>
      </w:r>
      <w:r w:rsidR="0009707D" w:rsidRPr="0009707D">
        <w:rPr>
          <w:rFonts w:ascii="Arial" w:hAnsi="Arial" w:cs="Arial"/>
          <w:sz w:val="22"/>
          <w:szCs w:val="22"/>
        </w:rPr>
        <w:t xml:space="preserve"> euros desde Ihobe).</w:t>
      </w:r>
      <w:r w:rsidR="0009707D">
        <w:rPr>
          <w:rFonts w:ascii="Arial" w:hAnsi="Arial" w:cs="Arial"/>
          <w:sz w:val="22"/>
          <w:szCs w:val="22"/>
        </w:rPr>
        <w:t xml:space="preserve"> </w:t>
      </w:r>
      <w:r w:rsidR="0009707D" w:rsidRPr="0009707D">
        <w:rPr>
          <w:rFonts w:ascii="Arial" w:hAnsi="Arial" w:cs="Arial"/>
          <w:sz w:val="22"/>
          <w:szCs w:val="22"/>
        </w:rPr>
        <w:t>Incluye</w:t>
      </w:r>
      <w:r w:rsidRPr="0009707D">
        <w:rPr>
          <w:rFonts w:ascii="Arial" w:hAnsi="Arial" w:cs="Arial"/>
          <w:sz w:val="22"/>
          <w:szCs w:val="22"/>
        </w:rPr>
        <w:t xml:space="preserve"> la red de calidad del aire, la regeneración de áreas degradadas</w:t>
      </w:r>
      <w:r w:rsidR="008C5420">
        <w:rPr>
          <w:rFonts w:ascii="Arial" w:hAnsi="Arial" w:cs="Arial"/>
          <w:sz w:val="22"/>
          <w:szCs w:val="22"/>
        </w:rPr>
        <w:t>,</w:t>
      </w:r>
      <w:r w:rsidRPr="0009707D">
        <w:rPr>
          <w:rFonts w:ascii="Arial" w:hAnsi="Arial" w:cs="Arial"/>
          <w:sz w:val="22"/>
          <w:szCs w:val="22"/>
        </w:rPr>
        <w:t xml:space="preserve"> bien por suelos con</w:t>
      </w:r>
      <w:r w:rsidR="008C5420">
        <w:rPr>
          <w:rFonts w:ascii="Arial" w:hAnsi="Arial" w:cs="Arial"/>
          <w:sz w:val="22"/>
          <w:szCs w:val="22"/>
        </w:rPr>
        <w:t xml:space="preserve">taminados o ruinas industriales, y </w:t>
      </w:r>
      <w:r w:rsidRPr="0009707D">
        <w:rPr>
          <w:rFonts w:ascii="Arial" w:hAnsi="Arial" w:cs="Arial"/>
          <w:sz w:val="22"/>
          <w:szCs w:val="22"/>
        </w:rPr>
        <w:t>el apoyo a las tareas de Evaluación de Impacto Ambiental.</w:t>
      </w:r>
    </w:p>
    <w:p w:rsidR="001259B2" w:rsidRDefault="001259B2" w:rsidP="001259B2">
      <w:pPr>
        <w:tabs>
          <w:tab w:val="left" w:pos="8789"/>
        </w:tabs>
        <w:spacing w:line="300" w:lineRule="exact"/>
        <w:rPr>
          <w:rFonts w:ascii="Arial" w:hAnsi="Arial" w:cs="Arial"/>
          <w:sz w:val="22"/>
          <w:szCs w:val="22"/>
        </w:rPr>
      </w:pPr>
    </w:p>
    <w:p w:rsidR="001259B2" w:rsidRDefault="001259B2" w:rsidP="001259B2">
      <w:pPr>
        <w:tabs>
          <w:tab w:val="left" w:pos="8789"/>
        </w:tabs>
        <w:spacing w:line="300" w:lineRule="exact"/>
        <w:rPr>
          <w:rFonts w:ascii="Arial" w:hAnsi="Arial" w:cs="Arial"/>
          <w:sz w:val="22"/>
          <w:szCs w:val="22"/>
        </w:rPr>
      </w:pPr>
    </w:p>
    <w:p w:rsidR="001259B2" w:rsidRDefault="001259B2" w:rsidP="001259B2">
      <w:pPr>
        <w:tabs>
          <w:tab w:val="left" w:pos="8789"/>
        </w:tabs>
        <w:spacing w:line="300" w:lineRule="exact"/>
        <w:rPr>
          <w:rFonts w:ascii="Arial" w:hAnsi="Arial" w:cs="Arial"/>
          <w:sz w:val="22"/>
          <w:szCs w:val="22"/>
        </w:rPr>
      </w:pPr>
    </w:p>
    <w:p w:rsidR="001259B2" w:rsidRPr="001259B2" w:rsidRDefault="001259B2" w:rsidP="001259B2">
      <w:pPr>
        <w:tabs>
          <w:tab w:val="left" w:pos="8789"/>
        </w:tabs>
        <w:spacing w:line="300" w:lineRule="exact"/>
        <w:rPr>
          <w:rFonts w:ascii="Arial" w:hAnsi="Arial" w:cs="Arial"/>
          <w:sz w:val="22"/>
          <w:szCs w:val="22"/>
        </w:rPr>
      </w:pPr>
    </w:p>
    <w:p w:rsidR="004F12FA" w:rsidRPr="004F12FA" w:rsidRDefault="00060DA3" w:rsidP="004F12FA">
      <w:pPr>
        <w:pStyle w:val="Prrafodelista"/>
        <w:numPr>
          <w:ilvl w:val="0"/>
          <w:numId w:val="15"/>
        </w:numPr>
        <w:tabs>
          <w:tab w:val="left" w:pos="8789"/>
        </w:tabs>
        <w:spacing w:line="300" w:lineRule="exact"/>
        <w:jc w:val="left"/>
        <w:rPr>
          <w:rFonts w:ascii="Arial" w:hAnsi="Arial" w:cs="Arial"/>
          <w:b/>
          <w:sz w:val="22"/>
          <w:szCs w:val="22"/>
        </w:rPr>
      </w:pPr>
      <w:r w:rsidRPr="00060DA3">
        <w:rPr>
          <w:rFonts w:ascii="Arial" w:hAnsi="Arial" w:cs="Arial"/>
          <w:b/>
          <w:sz w:val="22"/>
          <w:szCs w:val="22"/>
        </w:rPr>
        <w:t>Sostenibilidad del Territorio</w:t>
      </w:r>
      <w:r w:rsidR="00895820">
        <w:rPr>
          <w:rFonts w:ascii="Arial" w:hAnsi="Arial" w:cs="Arial"/>
          <w:b/>
          <w:sz w:val="22"/>
          <w:szCs w:val="22"/>
        </w:rPr>
        <w:t>,</w:t>
      </w:r>
      <w:r w:rsidRPr="00060DA3">
        <w:rPr>
          <w:rFonts w:ascii="Arial" w:hAnsi="Arial" w:cs="Arial"/>
          <w:b/>
          <w:sz w:val="22"/>
          <w:szCs w:val="22"/>
        </w:rPr>
        <w:t xml:space="preserve"> </w:t>
      </w:r>
      <w:r w:rsidRPr="00060DA3">
        <w:rPr>
          <w:rFonts w:ascii="Arial" w:hAnsi="Arial" w:cs="Arial"/>
          <w:sz w:val="22"/>
          <w:szCs w:val="22"/>
        </w:rPr>
        <w:t>con un presupuesto de</w:t>
      </w:r>
      <w:r w:rsidRPr="00060DA3">
        <w:rPr>
          <w:rFonts w:ascii="Arial" w:hAnsi="Arial" w:cs="Arial"/>
          <w:b/>
          <w:sz w:val="22"/>
          <w:szCs w:val="22"/>
        </w:rPr>
        <w:t xml:space="preserve"> </w:t>
      </w:r>
      <w:r w:rsidR="004F12FA" w:rsidRPr="008C5420">
        <w:rPr>
          <w:rFonts w:ascii="Arial" w:hAnsi="Arial" w:cs="Arial"/>
          <w:b/>
          <w:sz w:val="22"/>
          <w:szCs w:val="22"/>
        </w:rPr>
        <w:t>2,08</w:t>
      </w:r>
      <w:r w:rsidRPr="008C5420">
        <w:rPr>
          <w:rFonts w:ascii="Arial" w:hAnsi="Arial" w:cs="Arial"/>
          <w:b/>
          <w:sz w:val="22"/>
          <w:szCs w:val="22"/>
        </w:rPr>
        <w:t xml:space="preserve"> millones</w:t>
      </w:r>
      <w:r w:rsidRPr="00060DA3">
        <w:rPr>
          <w:rFonts w:ascii="Arial" w:hAnsi="Arial" w:cs="Arial"/>
          <w:sz w:val="22"/>
          <w:szCs w:val="22"/>
        </w:rPr>
        <w:t xml:space="preserve"> de euros</w:t>
      </w:r>
    </w:p>
    <w:p w:rsidR="00060DA3" w:rsidRPr="004F12FA" w:rsidRDefault="00060DA3" w:rsidP="004F12FA">
      <w:pPr>
        <w:pStyle w:val="Prrafodelista"/>
        <w:numPr>
          <w:ilvl w:val="0"/>
          <w:numId w:val="15"/>
        </w:numPr>
        <w:tabs>
          <w:tab w:val="left" w:pos="8789"/>
        </w:tabs>
        <w:spacing w:line="300" w:lineRule="exact"/>
        <w:rPr>
          <w:rFonts w:ascii="Arial" w:hAnsi="Arial" w:cs="Arial"/>
          <w:b/>
          <w:sz w:val="22"/>
          <w:szCs w:val="22"/>
        </w:rPr>
      </w:pPr>
      <w:r w:rsidRPr="004F12FA">
        <w:rPr>
          <w:rFonts w:ascii="Arial" w:hAnsi="Arial" w:cs="Arial"/>
          <w:b/>
          <w:sz w:val="22"/>
          <w:szCs w:val="22"/>
        </w:rPr>
        <w:t>Integración ambiental. Educación ambiental</w:t>
      </w:r>
      <w:r w:rsidR="00895820" w:rsidRPr="004F12FA">
        <w:rPr>
          <w:rFonts w:ascii="Arial" w:hAnsi="Arial" w:cs="Arial"/>
          <w:b/>
          <w:sz w:val="22"/>
          <w:szCs w:val="22"/>
        </w:rPr>
        <w:t>,</w:t>
      </w:r>
      <w:r w:rsidRPr="004F12FA">
        <w:rPr>
          <w:rFonts w:ascii="Arial" w:hAnsi="Arial" w:cs="Arial"/>
          <w:b/>
          <w:sz w:val="22"/>
          <w:szCs w:val="22"/>
        </w:rPr>
        <w:t xml:space="preserve"> </w:t>
      </w:r>
      <w:r w:rsidRPr="004F12FA">
        <w:rPr>
          <w:rFonts w:ascii="Arial" w:hAnsi="Arial" w:cs="Arial"/>
          <w:sz w:val="22"/>
          <w:szCs w:val="22"/>
        </w:rPr>
        <w:t xml:space="preserve">que cuenta con </w:t>
      </w:r>
      <w:r w:rsidR="004F12FA" w:rsidRPr="004F12FA">
        <w:rPr>
          <w:rFonts w:ascii="Arial" w:hAnsi="Arial" w:cs="Arial"/>
          <w:sz w:val="22"/>
          <w:szCs w:val="22"/>
        </w:rPr>
        <w:t xml:space="preserve">casi </w:t>
      </w:r>
      <w:r w:rsidR="004F12FA" w:rsidRPr="008C5420">
        <w:rPr>
          <w:rFonts w:ascii="Arial" w:hAnsi="Arial" w:cs="Arial"/>
          <w:b/>
          <w:sz w:val="22"/>
          <w:szCs w:val="22"/>
        </w:rPr>
        <w:t>4 millones</w:t>
      </w:r>
      <w:r w:rsidR="004F12FA" w:rsidRPr="004F12FA">
        <w:rPr>
          <w:rFonts w:ascii="Arial" w:hAnsi="Arial" w:cs="Arial"/>
          <w:sz w:val="22"/>
          <w:szCs w:val="22"/>
        </w:rPr>
        <w:t xml:space="preserve"> (</w:t>
      </w:r>
      <w:r w:rsidR="004F12FA" w:rsidRPr="004F12FA">
        <w:rPr>
          <w:rFonts w:ascii="Arial" w:hAnsi="Arial" w:cs="Arial"/>
          <w:b/>
          <w:sz w:val="22"/>
          <w:szCs w:val="22"/>
        </w:rPr>
        <w:t xml:space="preserve">1.978.617 euros </w:t>
      </w:r>
      <w:r w:rsidR="00183CDB">
        <w:rPr>
          <w:rFonts w:ascii="Arial" w:hAnsi="Arial" w:cs="Arial"/>
          <w:sz w:val="22"/>
          <w:szCs w:val="22"/>
        </w:rPr>
        <w:t>de</w:t>
      </w:r>
      <w:r w:rsidR="004F12FA" w:rsidRPr="004F12FA">
        <w:rPr>
          <w:rFonts w:ascii="Arial" w:hAnsi="Arial" w:cs="Arial"/>
          <w:sz w:val="22"/>
          <w:szCs w:val="22"/>
        </w:rPr>
        <w:t xml:space="preserve"> la Dirección de Patrimonio Natural y </w:t>
      </w:r>
      <w:r w:rsidR="004F12FA" w:rsidRPr="004F12FA">
        <w:rPr>
          <w:rFonts w:ascii="Arial" w:hAnsi="Arial" w:cs="Arial"/>
          <w:b/>
          <w:sz w:val="22"/>
          <w:szCs w:val="22"/>
        </w:rPr>
        <w:t xml:space="preserve">1.900.010 </w:t>
      </w:r>
      <w:r w:rsidR="00183CDB">
        <w:rPr>
          <w:rFonts w:ascii="Arial" w:hAnsi="Arial" w:cs="Arial"/>
          <w:sz w:val="22"/>
          <w:szCs w:val="22"/>
        </w:rPr>
        <w:t xml:space="preserve"> de</w:t>
      </w:r>
      <w:r w:rsidR="004F12FA" w:rsidRPr="004F12FA">
        <w:rPr>
          <w:rFonts w:ascii="Arial" w:hAnsi="Arial" w:cs="Arial"/>
          <w:sz w:val="22"/>
          <w:szCs w:val="22"/>
        </w:rPr>
        <w:t xml:space="preserve"> Ihobe).</w:t>
      </w:r>
      <w:r w:rsidRPr="004F12FA">
        <w:rPr>
          <w:rFonts w:ascii="Arial" w:hAnsi="Arial" w:cs="Arial"/>
          <w:sz w:val="22"/>
          <w:szCs w:val="22"/>
        </w:rPr>
        <w:t xml:space="preserve"> </w:t>
      </w:r>
    </w:p>
    <w:p w:rsidR="00060DA3" w:rsidRPr="00060DA3" w:rsidRDefault="00060DA3" w:rsidP="00060DA3">
      <w:pPr>
        <w:pStyle w:val="Prrafodelista"/>
        <w:numPr>
          <w:ilvl w:val="0"/>
          <w:numId w:val="15"/>
        </w:numPr>
        <w:tabs>
          <w:tab w:val="left" w:pos="8789"/>
        </w:tabs>
        <w:spacing w:line="300" w:lineRule="exact"/>
        <w:jc w:val="left"/>
        <w:rPr>
          <w:rFonts w:ascii="Arial" w:hAnsi="Arial" w:cs="Arial"/>
          <w:sz w:val="22"/>
          <w:szCs w:val="22"/>
        </w:rPr>
      </w:pPr>
      <w:r w:rsidRPr="00060DA3">
        <w:rPr>
          <w:rFonts w:ascii="Arial" w:hAnsi="Arial" w:cs="Arial"/>
          <w:b/>
          <w:sz w:val="22"/>
          <w:szCs w:val="22"/>
        </w:rPr>
        <w:t>Integración ambiental. Mejora de la administración ambiental</w:t>
      </w:r>
      <w:r w:rsidR="00895820">
        <w:rPr>
          <w:rFonts w:ascii="Arial" w:hAnsi="Arial" w:cs="Arial"/>
          <w:b/>
          <w:sz w:val="22"/>
          <w:szCs w:val="22"/>
        </w:rPr>
        <w:t>,</w:t>
      </w:r>
      <w:r w:rsidRPr="00060DA3">
        <w:rPr>
          <w:rFonts w:ascii="Arial" w:hAnsi="Arial" w:cs="Arial"/>
          <w:b/>
          <w:sz w:val="22"/>
          <w:szCs w:val="22"/>
        </w:rPr>
        <w:t xml:space="preserve"> </w:t>
      </w:r>
      <w:r w:rsidR="004F12FA">
        <w:rPr>
          <w:rFonts w:ascii="Arial" w:hAnsi="Arial" w:cs="Arial"/>
          <w:sz w:val="22"/>
          <w:szCs w:val="22"/>
        </w:rPr>
        <w:t xml:space="preserve">con </w:t>
      </w:r>
      <w:r w:rsidR="004F12FA" w:rsidRPr="008C5420">
        <w:rPr>
          <w:rFonts w:ascii="Arial" w:hAnsi="Arial" w:cs="Arial"/>
          <w:b/>
          <w:sz w:val="22"/>
          <w:szCs w:val="22"/>
        </w:rPr>
        <w:t>1,7</w:t>
      </w:r>
      <w:r w:rsidRPr="008C5420">
        <w:rPr>
          <w:rFonts w:ascii="Arial" w:hAnsi="Arial" w:cs="Arial"/>
          <w:b/>
          <w:sz w:val="22"/>
          <w:szCs w:val="22"/>
        </w:rPr>
        <w:t xml:space="preserve"> millones</w:t>
      </w:r>
      <w:r w:rsidR="008C5420">
        <w:rPr>
          <w:rFonts w:ascii="Arial" w:hAnsi="Arial" w:cs="Arial"/>
          <w:sz w:val="22"/>
          <w:szCs w:val="22"/>
        </w:rPr>
        <w:t>.</w:t>
      </w:r>
    </w:p>
    <w:p w:rsidR="00060DA3" w:rsidRPr="00060DA3" w:rsidRDefault="00060DA3" w:rsidP="00060DA3">
      <w:pPr>
        <w:spacing w:line="300" w:lineRule="exact"/>
        <w:rPr>
          <w:rFonts w:ascii="Arial" w:hAnsi="Arial" w:cs="Arial"/>
          <w:sz w:val="22"/>
          <w:szCs w:val="22"/>
        </w:rPr>
      </w:pPr>
    </w:p>
    <w:p w:rsidR="00895820" w:rsidRPr="00317DAA" w:rsidRDefault="00895820" w:rsidP="00895820">
      <w:pPr>
        <w:tabs>
          <w:tab w:val="left" w:pos="8789"/>
        </w:tabs>
        <w:ind w:left="360"/>
        <w:rPr>
          <w:rFonts w:ascii="Arial" w:hAnsi="Arial" w:cs="Arial"/>
          <w:b/>
          <w:sz w:val="22"/>
          <w:szCs w:val="22"/>
        </w:rPr>
      </w:pPr>
    </w:p>
    <w:p w:rsidR="00895820" w:rsidRDefault="00895820" w:rsidP="00895820">
      <w:pPr>
        <w:rPr>
          <w:rFonts w:ascii="Arial" w:hAnsi="Arial" w:cs="Arial"/>
          <w:sz w:val="22"/>
          <w:szCs w:val="22"/>
        </w:rPr>
      </w:pPr>
      <w:r w:rsidRPr="00317DAA">
        <w:rPr>
          <w:rFonts w:ascii="Arial" w:hAnsi="Arial" w:cs="Arial"/>
          <w:sz w:val="22"/>
          <w:szCs w:val="22"/>
        </w:rPr>
        <w:t xml:space="preserve">Por su parte, la </w:t>
      </w:r>
      <w:r w:rsidR="00317DAA" w:rsidRPr="00317DAA">
        <w:rPr>
          <w:rFonts w:ascii="Arial" w:hAnsi="Arial" w:cs="Arial"/>
          <w:b/>
          <w:sz w:val="22"/>
          <w:szCs w:val="22"/>
        </w:rPr>
        <w:t>A</w:t>
      </w:r>
      <w:r w:rsidRPr="00317DAA">
        <w:rPr>
          <w:rFonts w:ascii="Arial" w:hAnsi="Arial" w:cs="Arial"/>
          <w:b/>
          <w:sz w:val="22"/>
          <w:szCs w:val="22"/>
        </w:rPr>
        <w:t>gencia Vasca del Agua-URA</w:t>
      </w:r>
      <w:r w:rsidRPr="00317DAA">
        <w:rPr>
          <w:rFonts w:ascii="Arial" w:hAnsi="Arial" w:cs="Arial"/>
          <w:sz w:val="22"/>
          <w:szCs w:val="22"/>
        </w:rPr>
        <w:t xml:space="preserve"> cuenta con un presupuesto de </w:t>
      </w:r>
      <w:r w:rsidR="004F12FA">
        <w:rPr>
          <w:rFonts w:ascii="Arial" w:hAnsi="Arial" w:cs="Arial"/>
          <w:b/>
          <w:sz w:val="22"/>
          <w:szCs w:val="22"/>
        </w:rPr>
        <w:t>42,8</w:t>
      </w:r>
      <w:r w:rsidRPr="00317DAA">
        <w:rPr>
          <w:rFonts w:ascii="Arial" w:hAnsi="Arial" w:cs="Arial"/>
          <w:b/>
          <w:sz w:val="22"/>
          <w:szCs w:val="22"/>
        </w:rPr>
        <w:t xml:space="preserve"> millones de euros,</w:t>
      </w:r>
      <w:r w:rsidR="004F12FA">
        <w:rPr>
          <w:rFonts w:ascii="Arial" w:hAnsi="Arial" w:cs="Arial"/>
          <w:sz w:val="22"/>
          <w:szCs w:val="22"/>
        </w:rPr>
        <w:t xml:space="preserve"> de los que el </w:t>
      </w:r>
      <w:r w:rsidR="004F12FA" w:rsidRPr="008C5420">
        <w:rPr>
          <w:rFonts w:ascii="Arial" w:hAnsi="Arial" w:cs="Arial"/>
          <w:b/>
          <w:sz w:val="22"/>
          <w:szCs w:val="22"/>
        </w:rPr>
        <w:t>37,4</w:t>
      </w:r>
      <w:r w:rsidRPr="008C5420">
        <w:rPr>
          <w:rFonts w:ascii="Arial" w:hAnsi="Arial" w:cs="Arial"/>
          <w:b/>
          <w:sz w:val="22"/>
          <w:szCs w:val="22"/>
        </w:rPr>
        <w:t xml:space="preserve"> millones</w:t>
      </w:r>
      <w:r w:rsidRPr="00317DAA">
        <w:rPr>
          <w:rFonts w:ascii="Arial" w:hAnsi="Arial" w:cs="Arial"/>
          <w:sz w:val="22"/>
          <w:szCs w:val="22"/>
        </w:rPr>
        <w:t xml:space="preserve"> son ingresos provenientes de la aportación que realiza el Departamento. Pero también se cuenta con </w:t>
      </w:r>
      <w:r w:rsidRPr="008C5420">
        <w:rPr>
          <w:rFonts w:ascii="Arial" w:hAnsi="Arial" w:cs="Arial"/>
          <w:b/>
          <w:sz w:val="22"/>
          <w:szCs w:val="22"/>
        </w:rPr>
        <w:t>4</w:t>
      </w:r>
      <w:r w:rsidR="004F12FA" w:rsidRPr="008C5420">
        <w:rPr>
          <w:rFonts w:ascii="Arial" w:hAnsi="Arial" w:cs="Arial"/>
          <w:b/>
          <w:sz w:val="22"/>
          <w:szCs w:val="22"/>
        </w:rPr>
        <w:t>,6</w:t>
      </w:r>
      <w:r w:rsidRPr="008C5420">
        <w:rPr>
          <w:rFonts w:ascii="Arial" w:hAnsi="Arial" w:cs="Arial"/>
          <w:b/>
          <w:sz w:val="22"/>
          <w:szCs w:val="22"/>
        </w:rPr>
        <w:t xml:space="preserve"> millones</w:t>
      </w:r>
      <w:r w:rsidRPr="00317DAA">
        <w:rPr>
          <w:rFonts w:ascii="Arial" w:hAnsi="Arial" w:cs="Arial"/>
          <w:sz w:val="22"/>
          <w:szCs w:val="22"/>
        </w:rPr>
        <w:t xml:space="preserve"> de ingresos propios y de </w:t>
      </w:r>
      <w:r w:rsidR="004F12FA">
        <w:rPr>
          <w:rFonts w:ascii="Arial" w:hAnsi="Arial" w:cs="Arial"/>
          <w:sz w:val="22"/>
          <w:szCs w:val="22"/>
        </w:rPr>
        <w:t>750.000 euros</w:t>
      </w:r>
      <w:r w:rsidRPr="00317DAA">
        <w:rPr>
          <w:rFonts w:ascii="Arial" w:hAnsi="Arial" w:cs="Arial"/>
          <w:sz w:val="22"/>
          <w:szCs w:val="22"/>
        </w:rPr>
        <w:t xml:space="preserve"> de otras subvenciones.</w:t>
      </w:r>
    </w:p>
    <w:p w:rsidR="00317DAA" w:rsidRDefault="00317DAA" w:rsidP="00895820">
      <w:pPr>
        <w:rPr>
          <w:rFonts w:ascii="Arial" w:hAnsi="Arial" w:cs="Arial"/>
          <w:sz w:val="22"/>
          <w:szCs w:val="22"/>
        </w:rPr>
      </w:pPr>
    </w:p>
    <w:p w:rsidR="004F12FA" w:rsidRDefault="00317DAA" w:rsidP="004F12FA">
      <w:pPr>
        <w:rPr>
          <w:rFonts w:ascii="Arial" w:hAnsi="Arial" w:cs="Arial"/>
          <w:b/>
          <w:sz w:val="22"/>
          <w:szCs w:val="22"/>
        </w:rPr>
      </w:pPr>
      <w:r>
        <w:rPr>
          <w:rFonts w:ascii="Arial" w:hAnsi="Arial" w:cs="Arial"/>
          <w:sz w:val="22"/>
          <w:szCs w:val="22"/>
        </w:rPr>
        <w:t>Sus</w:t>
      </w:r>
      <w:r w:rsidR="004F12FA">
        <w:rPr>
          <w:rFonts w:ascii="Arial" w:hAnsi="Arial" w:cs="Arial"/>
          <w:sz w:val="22"/>
          <w:szCs w:val="22"/>
        </w:rPr>
        <w:t xml:space="preserve"> principales actuaciones en 2018</w:t>
      </w:r>
      <w:r>
        <w:rPr>
          <w:rFonts w:ascii="Arial" w:hAnsi="Arial" w:cs="Arial"/>
          <w:sz w:val="22"/>
          <w:szCs w:val="22"/>
        </w:rPr>
        <w:t xml:space="preserve"> van a </w:t>
      </w:r>
      <w:r w:rsidRPr="00317DAA">
        <w:rPr>
          <w:rFonts w:ascii="Arial" w:hAnsi="Arial" w:cs="Arial"/>
          <w:sz w:val="22"/>
          <w:szCs w:val="22"/>
        </w:rPr>
        <w:t>consist</w:t>
      </w:r>
      <w:r>
        <w:rPr>
          <w:rFonts w:ascii="Arial" w:hAnsi="Arial" w:cs="Arial"/>
          <w:sz w:val="22"/>
          <w:szCs w:val="22"/>
        </w:rPr>
        <w:t>ir e</w:t>
      </w:r>
      <w:r w:rsidRPr="00317DAA">
        <w:rPr>
          <w:rFonts w:ascii="Arial" w:hAnsi="Arial" w:cs="Arial"/>
          <w:sz w:val="22"/>
          <w:szCs w:val="22"/>
        </w:rPr>
        <w:t xml:space="preserve">n </w:t>
      </w:r>
      <w:r w:rsidRPr="00317DAA">
        <w:rPr>
          <w:rFonts w:ascii="Arial" w:hAnsi="Arial" w:cs="Arial"/>
          <w:b/>
          <w:sz w:val="22"/>
          <w:szCs w:val="22"/>
        </w:rPr>
        <w:t>obras de ordenación, encauzamiento y defensa contra inundaciones</w:t>
      </w:r>
      <w:r w:rsidRPr="00317DAA">
        <w:rPr>
          <w:rFonts w:ascii="Arial" w:hAnsi="Arial" w:cs="Arial"/>
          <w:sz w:val="22"/>
          <w:szCs w:val="22"/>
        </w:rPr>
        <w:t xml:space="preserve">, proyectos de </w:t>
      </w:r>
      <w:r w:rsidRPr="00317DAA">
        <w:rPr>
          <w:rFonts w:ascii="Arial" w:hAnsi="Arial" w:cs="Arial"/>
          <w:b/>
          <w:sz w:val="22"/>
          <w:szCs w:val="22"/>
        </w:rPr>
        <w:t>mantenimiento y reparación de cauces</w:t>
      </w:r>
      <w:r w:rsidRPr="00317DAA">
        <w:rPr>
          <w:rFonts w:ascii="Arial" w:hAnsi="Arial" w:cs="Arial"/>
          <w:sz w:val="22"/>
          <w:szCs w:val="22"/>
        </w:rPr>
        <w:t>,</w:t>
      </w:r>
      <w:r>
        <w:rPr>
          <w:rFonts w:ascii="Arial" w:hAnsi="Arial" w:cs="Arial"/>
          <w:sz w:val="22"/>
          <w:szCs w:val="22"/>
        </w:rPr>
        <w:t xml:space="preserve">  mejora del </w:t>
      </w:r>
      <w:r w:rsidRPr="00317DAA">
        <w:rPr>
          <w:rFonts w:ascii="Arial" w:hAnsi="Arial" w:cs="Arial"/>
          <w:sz w:val="22"/>
          <w:szCs w:val="22"/>
        </w:rPr>
        <w:t>sistema de prevención de inundaciones</w:t>
      </w:r>
      <w:r>
        <w:rPr>
          <w:rFonts w:ascii="Arial" w:hAnsi="Arial" w:cs="Arial"/>
          <w:sz w:val="22"/>
          <w:szCs w:val="22"/>
        </w:rPr>
        <w:t xml:space="preserve">, e intervenciones en materia de </w:t>
      </w:r>
      <w:r w:rsidRPr="00317DAA">
        <w:rPr>
          <w:rFonts w:ascii="Arial" w:hAnsi="Arial" w:cs="Arial"/>
          <w:b/>
          <w:sz w:val="22"/>
          <w:szCs w:val="22"/>
        </w:rPr>
        <w:t>captación de aguas residuales y saneamiento.</w:t>
      </w:r>
      <w:r w:rsidR="004F12FA">
        <w:rPr>
          <w:rFonts w:ascii="Arial" w:hAnsi="Arial" w:cs="Arial"/>
          <w:b/>
          <w:sz w:val="22"/>
          <w:szCs w:val="22"/>
        </w:rPr>
        <w:t xml:space="preserve"> </w:t>
      </w:r>
    </w:p>
    <w:p w:rsidR="00C95CD6" w:rsidRDefault="00C95CD6" w:rsidP="004F12FA">
      <w:pPr>
        <w:rPr>
          <w:rFonts w:ascii="Arial" w:hAnsi="Arial" w:cs="Arial"/>
          <w:b/>
          <w:sz w:val="22"/>
          <w:szCs w:val="22"/>
        </w:rPr>
      </w:pPr>
    </w:p>
    <w:p w:rsidR="004F12FA" w:rsidRPr="004F12FA" w:rsidRDefault="004F12FA" w:rsidP="004F12FA">
      <w:pPr>
        <w:rPr>
          <w:rFonts w:ascii="Arial" w:hAnsi="Arial" w:cs="Arial"/>
          <w:sz w:val="22"/>
          <w:szCs w:val="22"/>
        </w:rPr>
      </w:pPr>
      <w:r w:rsidRPr="004F12FA">
        <w:rPr>
          <w:rFonts w:ascii="Arial" w:hAnsi="Arial" w:cs="Arial"/>
          <w:b/>
          <w:sz w:val="22"/>
          <w:szCs w:val="22"/>
        </w:rPr>
        <w:t xml:space="preserve">También llevará a cabo actuaciones inversoras </w:t>
      </w:r>
      <w:r w:rsidRPr="004F12FA">
        <w:rPr>
          <w:rFonts w:ascii="Arial" w:hAnsi="Arial" w:cs="Arial"/>
          <w:sz w:val="22"/>
          <w:szCs w:val="22"/>
        </w:rPr>
        <w:t>para</w:t>
      </w:r>
      <w:r w:rsidRPr="004F12FA">
        <w:rPr>
          <w:rFonts w:ascii="Arial" w:hAnsi="Arial" w:cs="Arial"/>
          <w:b/>
          <w:sz w:val="22"/>
          <w:szCs w:val="22"/>
        </w:rPr>
        <w:t xml:space="preserve"> otros entes</w:t>
      </w:r>
      <w:r w:rsidRPr="004F12FA">
        <w:rPr>
          <w:rFonts w:ascii="Arial" w:hAnsi="Arial" w:cs="Arial"/>
          <w:sz w:val="22"/>
          <w:szCs w:val="22"/>
        </w:rPr>
        <w:t xml:space="preserve"> (fundamentalmente consorcios, ayuntamientos y otras entidades), en materia de abastecimiento y saneamiento de aguas por valor de </w:t>
      </w:r>
      <w:r w:rsidRPr="004F12FA">
        <w:rPr>
          <w:rFonts w:ascii="Arial" w:hAnsi="Arial" w:cs="Arial"/>
          <w:b/>
          <w:sz w:val="22"/>
          <w:szCs w:val="22"/>
        </w:rPr>
        <w:t>12,9 millones de euros</w:t>
      </w:r>
      <w:r w:rsidRPr="004F12FA">
        <w:rPr>
          <w:rFonts w:ascii="Arial" w:hAnsi="Arial" w:cs="Arial"/>
          <w:sz w:val="22"/>
          <w:szCs w:val="22"/>
        </w:rPr>
        <w:t>.</w:t>
      </w:r>
    </w:p>
    <w:p w:rsidR="00317DAA" w:rsidRPr="00317DAA" w:rsidRDefault="00317DAA" w:rsidP="00895820">
      <w:pPr>
        <w:rPr>
          <w:rFonts w:ascii="Arial" w:hAnsi="Arial" w:cs="Arial"/>
          <w:sz w:val="22"/>
          <w:szCs w:val="22"/>
        </w:rPr>
      </w:pPr>
    </w:p>
    <w:p w:rsidR="000E6FBD" w:rsidRDefault="000E6FBD" w:rsidP="00060DA3">
      <w:pPr>
        <w:spacing w:line="300" w:lineRule="exact"/>
        <w:rPr>
          <w:rFonts w:ascii="Arial" w:hAnsi="Arial" w:cs="Arial"/>
          <w:b/>
          <w:sz w:val="24"/>
          <w:szCs w:val="24"/>
          <w:u w:val="single"/>
        </w:rPr>
      </w:pPr>
    </w:p>
    <w:p w:rsidR="00060DA3" w:rsidRPr="000E6FBD" w:rsidRDefault="000E6FBD" w:rsidP="00060DA3">
      <w:pPr>
        <w:spacing w:line="300" w:lineRule="exact"/>
        <w:rPr>
          <w:rFonts w:ascii="Arial" w:hAnsi="Arial" w:cs="Arial"/>
          <w:b/>
          <w:sz w:val="24"/>
          <w:szCs w:val="24"/>
          <w:u w:val="single"/>
        </w:rPr>
      </w:pPr>
      <w:r w:rsidRPr="000E6FBD">
        <w:rPr>
          <w:rFonts w:ascii="Arial" w:hAnsi="Arial" w:cs="Arial"/>
          <w:b/>
          <w:sz w:val="24"/>
          <w:szCs w:val="24"/>
          <w:u w:val="single"/>
        </w:rPr>
        <w:t xml:space="preserve">PLANIFICACIÓN TERRITORIAL </w:t>
      </w:r>
    </w:p>
    <w:p w:rsidR="00060DA3" w:rsidRPr="00060DA3" w:rsidRDefault="00060DA3" w:rsidP="00060DA3">
      <w:pPr>
        <w:spacing w:line="300" w:lineRule="exact"/>
        <w:rPr>
          <w:rFonts w:ascii="Arial" w:hAnsi="Arial" w:cs="Arial"/>
          <w:b/>
          <w:sz w:val="22"/>
          <w:szCs w:val="22"/>
          <w:u w:val="single"/>
        </w:rPr>
      </w:pPr>
    </w:p>
    <w:p w:rsidR="00060DA3" w:rsidRDefault="00317DAA" w:rsidP="00060DA3">
      <w:pPr>
        <w:spacing w:line="300" w:lineRule="exact"/>
        <w:rPr>
          <w:rFonts w:ascii="Arial" w:hAnsi="Arial" w:cs="Arial"/>
          <w:sz w:val="22"/>
          <w:szCs w:val="22"/>
        </w:rPr>
      </w:pPr>
      <w:r>
        <w:rPr>
          <w:rFonts w:ascii="Arial" w:hAnsi="Arial" w:cs="Arial"/>
          <w:sz w:val="22"/>
          <w:szCs w:val="22"/>
        </w:rPr>
        <w:t>Al programa de Ordenación del Territorio</w:t>
      </w:r>
      <w:r w:rsidR="00060DA3" w:rsidRPr="00060DA3">
        <w:rPr>
          <w:rFonts w:ascii="Arial" w:hAnsi="Arial" w:cs="Arial"/>
          <w:sz w:val="22"/>
          <w:szCs w:val="22"/>
        </w:rPr>
        <w:t xml:space="preserve"> y Urbanismo </w:t>
      </w:r>
      <w:r>
        <w:rPr>
          <w:rFonts w:ascii="Arial" w:hAnsi="Arial" w:cs="Arial"/>
          <w:sz w:val="22"/>
          <w:szCs w:val="22"/>
        </w:rPr>
        <w:t xml:space="preserve">se asigna </w:t>
      </w:r>
      <w:r w:rsidR="00060DA3" w:rsidRPr="00060DA3">
        <w:rPr>
          <w:rFonts w:ascii="Arial" w:hAnsi="Arial" w:cs="Arial"/>
          <w:sz w:val="22"/>
          <w:szCs w:val="22"/>
        </w:rPr>
        <w:t>un presupuesto de 7</w:t>
      </w:r>
      <w:r w:rsidR="00C95CD6">
        <w:rPr>
          <w:rFonts w:ascii="Arial" w:hAnsi="Arial" w:cs="Arial"/>
          <w:sz w:val="22"/>
          <w:szCs w:val="22"/>
        </w:rPr>
        <w:t>,9</w:t>
      </w:r>
      <w:r w:rsidR="00060DA3" w:rsidRPr="00060DA3">
        <w:rPr>
          <w:rFonts w:ascii="Arial" w:hAnsi="Arial" w:cs="Arial"/>
          <w:sz w:val="22"/>
          <w:szCs w:val="22"/>
        </w:rPr>
        <w:t xml:space="preserve"> millones de euros. S</w:t>
      </w:r>
      <w:r w:rsidR="00C95CD6">
        <w:rPr>
          <w:rFonts w:ascii="Arial" w:hAnsi="Arial" w:cs="Arial"/>
          <w:sz w:val="22"/>
          <w:szCs w:val="22"/>
        </w:rPr>
        <w:t>us actuaciones se centran en tres</w:t>
      </w:r>
      <w:r w:rsidR="00060DA3" w:rsidRPr="00060DA3">
        <w:rPr>
          <w:rFonts w:ascii="Arial" w:hAnsi="Arial" w:cs="Arial"/>
          <w:sz w:val="22"/>
          <w:szCs w:val="22"/>
        </w:rPr>
        <w:t xml:space="preserve"> ejes: </w:t>
      </w:r>
    </w:p>
    <w:p w:rsidR="00060DA3" w:rsidRPr="00060DA3" w:rsidRDefault="00060DA3" w:rsidP="00060DA3">
      <w:pPr>
        <w:spacing w:line="300" w:lineRule="exact"/>
        <w:rPr>
          <w:rFonts w:ascii="Arial" w:hAnsi="Arial" w:cs="Arial"/>
          <w:sz w:val="22"/>
          <w:szCs w:val="22"/>
        </w:rPr>
      </w:pPr>
    </w:p>
    <w:p w:rsidR="00060DA3" w:rsidRPr="00C95CD6" w:rsidRDefault="00060DA3" w:rsidP="00C95CD6">
      <w:pPr>
        <w:pStyle w:val="Prrafodelista"/>
        <w:numPr>
          <w:ilvl w:val="0"/>
          <w:numId w:val="16"/>
        </w:numPr>
        <w:spacing w:line="300" w:lineRule="exact"/>
        <w:rPr>
          <w:rFonts w:ascii="Arial" w:hAnsi="Arial" w:cs="Arial"/>
          <w:sz w:val="22"/>
          <w:szCs w:val="22"/>
        </w:rPr>
      </w:pPr>
      <w:r w:rsidRPr="00C95CD6">
        <w:rPr>
          <w:rFonts w:ascii="Arial" w:hAnsi="Arial" w:cs="Arial"/>
          <w:b/>
          <w:sz w:val="22"/>
          <w:szCs w:val="22"/>
        </w:rPr>
        <w:t xml:space="preserve">La </w:t>
      </w:r>
      <w:r w:rsidR="00C95CD6" w:rsidRPr="00C95CD6">
        <w:rPr>
          <w:rFonts w:ascii="Arial" w:hAnsi="Arial" w:cs="Arial"/>
          <w:b/>
          <w:sz w:val="22"/>
          <w:szCs w:val="22"/>
        </w:rPr>
        <w:t>planificación territorial</w:t>
      </w:r>
      <w:r w:rsidR="008C5420">
        <w:rPr>
          <w:rFonts w:ascii="Arial" w:hAnsi="Arial" w:cs="Arial"/>
          <w:sz w:val="22"/>
          <w:szCs w:val="22"/>
        </w:rPr>
        <w:t xml:space="preserve">, </w:t>
      </w:r>
      <w:r w:rsidR="00C95CD6" w:rsidRPr="00C95CD6">
        <w:rPr>
          <w:rFonts w:ascii="Arial" w:hAnsi="Arial" w:cs="Arial"/>
          <w:sz w:val="22"/>
          <w:szCs w:val="22"/>
        </w:rPr>
        <w:t>con una dotación de 1,4</w:t>
      </w:r>
      <w:r w:rsidRPr="00C95CD6">
        <w:rPr>
          <w:rFonts w:ascii="Arial" w:hAnsi="Arial" w:cs="Arial"/>
          <w:sz w:val="22"/>
          <w:szCs w:val="22"/>
        </w:rPr>
        <w:t xml:space="preserve"> millones al servicio de los siguientes objetivos: la apuesta por </w:t>
      </w:r>
      <w:r w:rsidR="00C95CD6" w:rsidRPr="00C95CD6">
        <w:rPr>
          <w:rFonts w:ascii="Arial" w:hAnsi="Arial" w:cs="Arial"/>
          <w:sz w:val="22"/>
          <w:szCs w:val="22"/>
        </w:rPr>
        <w:t>un territorio equilibrado, cohesionado y sostenible y la puesta en valor del paisaje.</w:t>
      </w:r>
    </w:p>
    <w:p w:rsidR="00060DA3" w:rsidRPr="00C95CD6" w:rsidRDefault="00C95CD6" w:rsidP="00060DA3">
      <w:pPr>
        <w:pStyle w:val="Prrafodelista"/>
        <w:numPr>
          <w:ilvl w:val="0"/>
          <w:numId w:val="16"/>
        </w:numPr>
        <w:spacing w:line="300" w:lineRule="exact"/>
        <w:rPr>
          <w:rFonts w:ascii="Arial" w:hAnsi="Arial" w:cs="Arial"/>
          <w:sz w:val="22"/>
          <w:szCs w:val="22"/>
        </w:rPr>
      </w:pPr>
      <w:r w:rsidRPr="00C95CD6">
        <w:rPr>
          <w:rFonts w:ascii="Arial" w:hAnsi="Arial" w:cs="Arial"/>
          <w:b/>
          <w:color w:val="000000" w:themeColor="text1"/>
          <w:sz w:val="22"/>
          <w:szCs w:val="22"/>
        </w:rPr>
        <w:t>El urbanismo y la regeneración urbana</w:t>
      </w:r>
      <w:r w:rsidR="008C5420">
        <w:rPr>
          <w:rFonts w:ascii="Arial" w:hAnsi="Arial" w:cs="Arial"/>
          <w:b/>
          <w:color w:val="000000" w:themeColor="text1"/>
          <w:sz w:val="22"/>
          <w:szCs w:val="22"/>
        </w:rPr>
        <w:t>,</w:t>
      </w:r>
      <w:r w:rsidRPr="00C95CD6">
        <w:rPr>
          <w:rFonts w:ascii="Arial" w:hAnsi="Arial" w:cs="Arial"/>
          <w:b/>
          <w:color w:val="000000" w:themeColor="text1"/>
          <w:sz w:val="22"/>
          <w:szCs w:val="22"/>
        </w:rPr>
        <w:t xml:space="preserve"> </w:t>
      </w:r>
      <w:r w:rsidR="00060DA3" w:rsidRPr="00C95CD6">
        <w:rPr>
          <w:rFonts w:ascii="Arial" w:hAnsi="Arial" w:cs="Arial"/>
          <w:color w:val="000000" w:themeColor="text1"/>
          <w:sz w:val="22"/>
          <w:szCs w:val="22"/>
        </w:rPr>
        <w:t xml:space="preserve">con un presupuesto </w:t>
      </w:r>
      <w:r>
        <w:rPr>
          <w:rFonts w:ascii="Arial" w:hAnsi="Arial" w:cs="Arial"/>
          <w:color w:val="000000" w:themeColor="text1"/>
          <w:sz w:val="22"/>
          <w:szCs w:val="22"/>
        </w:rPr>
        <w:t>de 5 millones</w:t>
      </w:r>
      <w:r w:rsidRPr="00C95CD6">
        <w:rPr>
          <w:rFonts w:ascii="Arial" w:hAnsi="Arial" w:cs="Arial"/>
          <w:color w:val="000000" w:themeColor="text1"/>
          <w:sz w:val="22"/>
          <w:szCs w:val="22"/>
        </w:rPr>
        <w:t>.</w:t>
      </w:r>
    </w:p>
    <w:p w:rsidR="00C95CD6" w:rsidRPr="00C95CD6" w:rsidRDefault="00C95CD6" w:rsidP="00060DA3">
      <w:pPr>
        <w:pStyle w:val="Prrafodelista"/>
        <w:numPr>
          <w:ilvl w:val="0"/>
          <w:numId w:val="16"/>
        </w:numPr>
        <w:spacing w:line="300" w:lineRule="exact"/>
        <w:rPr>
          <w:rFonts w:ascii="Arial" w:hAnsi="Arial" w:cs="Arial"/>
          <w:sz w:val="22"/>
          <w:szCs w:val="22"/>
        </w:rPr>
      </w:pPr>
      <w:r w:rsidRPr="00C95CD6">
        <w:rPr>
          <w:rFonts w:ascii="Arial" w:hAnsi="Arial" w:cs="Arial"/>
          <w:b/>
          <w:sz w:val="22"/>
          <w:szCs w:val="22"/>
        </w:rPr>
        <w:t>La información geográfica territorial</w:t>
      </w:r>
      <w:r w:rsidR="000865ED">
        <w:rPr>
          <w:rFonts w:ascii="Arial" w:hAnsi="Arial" w:cs="Arial"/>
          <w:sz w:val="22"/>
          <w:szCs w:val="22"/>
        </w:rPr>
        <w:t>, que cuenta con 80</w:t>
      </w:r>
      <w:r>
        <w:rPr>
          <w:rFonts w:ascii="Arial" w:hAnsi="Arial" w:cs="Arial"/>
          <w:sz w:val="22"/>
          <w:szCs w:val="22"/>
        </w:rPr>
        <w:t xml:space="preserve">0.000 euros. </w:t>
      </w:r>
    </w:p>
    <w:p w:rsidR="00C95CD6" w:rsidRPr="00C95CD6" w:rsidRDefault="00C95CD6" w:rsidP="00060DA3">
      <w:pPr>
        <w:spacing w:line="300" w:lineRule="exact"/>
        <w:rPr>
          <w:rFonts w:ascii="Arial" w:hAnsi="Arial" w:cs="Arial"/>
          <w:b/>
          <w:color w:val="000000" w:themeColor="text1"/>
          <w:sz w:val="22"/>
          <w:szCs w:val="22"/>
        </w:rPr>
      </w:pPr>
    </w:p>
    <w:p w:rsidR="00060DA3" w:rsidRPr="00060DA3" w:rsidRDefault="00060DA3" w:rsidP="00060DA3">
      <w:pPr>
        <w:spacing w:line="300" w:lineRule="exact"/>
        <w:rPr>
          <w:rFonts w:ascii="Arial" w:hAnsi="Arial" w:cs="Arial"/>
          <w:b/>
          <w:color w:val="000000" w:themeColor="text1"/>
          <w:sz w:val="22"/>
          <w:szCs w:val="22"/>
        </w:rPr>
      </w:pPr>
    </w:p>
    <w:p w:rsidR="000E6FBD" w:rsidRDefault="000E6FBD" w:rsidP="00060DA3">
      <w:pPr>
        <w:spacing w:line="300" w:lineRule="exact"/>
        <w:rPr>
          <w:rFonts w:ascii="Arial" w:hAnsi="Arial" w:cs="Arial"/>
          <w:b/>
          <w:bCs/>
          <w:sz w:val="24"/>
          <w:szCs w:val="24"/>
          <w:u w:val="single"/>
          <w:lang w:eastAsia="es-ES_tradnl"/>
        </w:rPr>
      </w:pPr>
    </w:p>
    <w:p w:rsidR="00060DA3" w:rsidRPr="000E6FBD" w:rsidRDefault="000E6FBD" w:rsidP="00060DA3">
      <w:pPr>
        <w:spacing w:line="300" w:lineRule="exact"/>
        <w:rPr>
          <w:rFonts w:ascii="Arial" w:hAnsi="Arial" w:cs="Arial"/>
          <w:b/>
          <w:bCs/>
          <w:sz w:val="24"/>
          <w:szCs w:val="24"/>
          <w:u w:val="single"/>
          <w:lang w:eastAsia="es-ES_tradnl"/>
        </w:rPr>
      </w:pPr>
      <w:r w:rsidRPr="000E6FBD">
        <w:rPr>
          <w:rFonts w:ascii="Arial" w:hAnsi="Arial" w:cs="Arial"/>
          <w:b/>
          <w:bCs/>
          <w:sz w:val="24"/>
          <w:szCs w:val="24"/>
          <w:u w:val="single"/>
          <w:lang w:eastAsia="es-ES_tradnl"/>
        </w:rPr>
        <w:t>VIVIENDA</w:t>
      </w:r>
    </w:p>
    <w:p w:rsidR="00060DA3" w:rsidRDefault="00060DA3" w:rsidP="00060DA3">
      <w:pPr>
        <w:spacing w:line="300" w:lineRule="exact"/>
        <w:rPr>
          <w:rFonts w:ascii="Arial" w:hAnsi="Arial" w:cs="Arial"/>
          <w:bCs/>
          <w:sz w:val="22"/>
          <w:szCs w:val="22"/>
          <w:lang w:eastAsia="es-ES_tradnl"/>
        </w:rPr>
      </w:pPr>
    </w:p>
    <w:p w:rsidR="00060DA3" w:rsidRDefault="00060DA3" w:rsidP="00060DA3">
      <w:pPr>
        <w:spacing w:line="300" w:lineRule="exact"/>
        <w:rPr>
          <w:rFonts w:ascii="Arial" w:hAnsi="Arial" w:cs="Arial"/>
          <w:sz w:val="22"/>
          <w:szCs w:val="22"/>
        </w:rPr>
      </w:pPr>
      <w:r w:rsidRPr="00060DA3">
        <w:rPr>
          <w:rFonts w:ascii="Arial" w:hAnsi="Arial" w:cs="Arial"/>
          <w:bCs/>
          <w:sz w:val="22"/>
          <w:szCs w:val="22"/>
          <w:lang w:eastAsia="es-ES_tradnl"/>
        </w:rPr>
        <w:t>E</w:t>
      </w:r>
      <w:r w:rsidRPr="00060DA3">
        <w:rPr>
          <w:rFonts w:ascii="Arial" w:hAnsi="Arial" w:cs="Arial"/>
          <w:sz w:val="22"/>
          <w:szCs w:val="22"/>
        </w:rPr>
        <w:t xml:space="preserve">n lo que se refiere al </w:t>
      </w:r>
      <w:r w:rsidRPr="00060DA3">
        <w:rPr>
          <w:rFonts w:ascii="Arial" w:hAnsi="Arial" w:cs="Arial"/>
          <w:b/>
          <w:sz w:val="22"/>
          <w:szCs w:val="22"/>
        </w:rPr>
        <w:t>área de Vivienda</w:t>
      </w:r>
      <w:r w:rsidR="008C5420">
        <w:rPr>
          <w:rFonts w:ascii="Arial" w:hAnsi="Arial" w:cs="Arial"/>
          <w:sz w:val="22"/>
          <w:szCs w:val="22"/>
        </w:rPr>
        <w:t>, el presupuesto del D</w:t>
      </w:r>
      <w:r w:rsidRPr="00060DA3">
        <w:rPr>
          <w:rFonts w:ascii="Arial" w:hAnsi="Arial" w:cs="Arial"/>
          <w:sz w:val="22"/>
          <w:szCs w:val="22"/>
        </w:rPr>
        <w:t xml:space="preserve">epartamento asciende </w:t>
      </w:r>
      <w:r w:rsidR="00895820">
        <w:rPr>
          <w:rFonts w:ascii="Arial" w:hAnsi="Arial" w:cs="Arial"/>
          <w:sz w:val="22"/>
          <w:szCs w:val="22"/>
        </w:rPr>
        <w:t xml:space="preserve">a </w:t>
      </w:r>
      <w:r w:rsidR="00183CDB" w:rsidRPr="008C5420">
        <w:rPr>
          <w:rFonts w:ascii="Arial" w:hAnsi="Arial" w:cs="Arial"/>
          <w:b/>
          <w:sz w:val="22"/>
          <w:szCs w:val="22"/>
        </w:rPr>
        <w:t>126,98</w:t>
      </w:r>
      <w:r w:rsidRPr="008C5420">
        <w:rPr>
          <w:rFonts w:ascii="Arial" w:hAnsi="Arial" w:cs="Arial"/>
          <w:b/>
          <w:sz w:val="22"/>
          <w:szCs w:val="22"/>
        </w:rPr>
        <w:t xml:space="preserve"> millones de euros</w:t>
      </w:r>
      <w:r w:rsidRPr="00060DA3">
        <w:rPr>
          <w:rFonts w:ascii="Arial" w:hAnsi="Arial" w:cs="Arial"/>
          <w:sz w:val="22"/>
          <w:szCs w:val="22"/>
        </w:rPr>
        <w:t xml:space="preserve">, lo que representa un incremento del </w:t>
      </w:r>
      <w:r w:rsidR="00183CDB">
        <w:rPr>
          <w:rFonts w:ascii="Arial" w:hAnsi="Arial" w:cs="Arial"/>
          <w:sz w:val="22"/>
          <w:szCs w:val="22"/>
        </w:rPr>
        <w:t>4% en relación a 2017</w:t>
      </w:r>
      <w:r w:rsidRPr="00060DA3">
        <w:rPr>
          <w:rFonts w:ascii="Arial" w:hAnsi="Arial" w:cs="Arial"/>
          <w:sz w:val="22"/>
          <w:szCs w:val="22"/>
        </w:rPr>
        <w:t>. Pero, para determinar la capacidad presupuestaria de las políticas de gasto directo en materia de vivienda para este ejercicio, debemos incorporar al análisis los presupuestos de las sociedades públicas Vi</w:t>
      </w:r>
      <w:r w:rsidR="00C302E3">
        <w:rPr>
          <w:rFonts w:ascii="Arial" w:hAnsi="Arial" w:cs="Arial"/>
          <w:sz w:val="22"/>
          <w:szCs w:val="22"/>
        </w:rPr>
        <w:t>sesa y Alokabide. Así, para 2018</w:t>
      </w:r>
      <w:r w:rsidRPr="00060DA3">
        <w:rPr>
          <w:rFonts w:ascii="Arial" w:hAnsi="Arial" w:cs="Arial"/>
          <w:sz w:val="22"/>
          <w:szCs w:val="22"/>
        </w:rPr>
        <w:t xml:space="preserve">, Visesa dispone de un presupuesto de gastos de </w:t>
      </w:r>
      <w:r w:rsidR="00183CDB" w:rsidRPr="008C5420">
        <w:rPr>
          <w:rFonts w:ascii="Arial" w:hAnsi="Arial" w:cs="Arial"/>
          <w:b/>
          <w:sz w:val="22"/>
          <w:szCs w:val="22"/>
        </w:rPr>
        <w:t>122,7</w:t>
      </w:r>
      <w:r w:rsidRPr="008C5420">
        <w:rPr>
          <w:rFonts w:ascii="Arial" w:hAnsi="Arial" w:cs="Arial"/>
          <w:b/>
          <w:sz w:val="22"/>
          <w:szCs w:val="22"/>
        </w:rPr>
        <w:t xml:space="preserve"> millones</w:t>
      </w:r>
      <w:r w:rsidR="00EF3B82">
        <w:rPr>
          <w:rFonts w:ascii="Arial" w:hAnsi="Arial" w:cs="Arial"/>
          <w:sz w:val="22"/>
          <w:szCs w:val="22"/>
        </w:rPr>
        <w:t xml:space="preserve"> de euros</w:t>
      </w:r>
      <w:r w:rsidRPr="00060DA3">
        <w:rPr>
          <w:rFonts w:ascii="Arial" w:hAnsi="Arial" w:cs="Arial"/>
          <w:sz w:val="22"/>
          <w:szCs w:val="22"/>
        </w:rPr>
        <w:t xml:space="preserve">, y Alokabide de </w:t>
      </w:r>
      <w:r w:rsidR="00401E58" w:rsidRPr="008C5420">
        <w:rPr>
          <w:rFonts w:ascii="Arial" w:hAnsi="Arial" w:cs="Arial"/>
          <w:b/>
          <w:sz w:val="22"/>
          <w:szCs w:val="22"/>
        </w:rPr>
        <w:t>77,8</w:t>
      </w:r>
      <w:r w:rsidRPr="008C5420">
        <w:rPr>
          <w:rFonts w:ascii="Arial" w:hAnsi="Arial" w:cs="Arial"/>
          <w:b/>
          <w:sz w:val="22"/>
          <w:szCs w:val="22"/>
        </w:rPr>
        <w:t xml:space="preserve"> millones</w:t>
      </w:r>
      <w:r w:rsidR="00EF3B82">
        <w:rPr>
          <w:rFonts w:ascii="Arial" w:hAnsi="Arial" w:cs="Arial"/>
          <w:sz w:val="22"/>
          <w:szCs w:val="22"/>
        </w:rPr>
        <w:t xml:space="preserve"> de euros</w:t>
      </w:r>
      <w:r w:rsidRPr="00060DA3">
        <w:rPr>
          <w:rFonts w:ascii="Arial" w:hAnsi="Arial" w:cs="Arial"/>
          <w:sz w:val="22"/>
          <w:szCs w:val="22"/>
        </w:rPr>
        <w:t>.</w:t>
      </w:r>
    </w:p>
    <w:p w:rsidR="00183CDB" w:rsidRDefault="00183CDB" w:rsidP="00060DA3">
      <w:pPr>
        <w:spacing w:line="300" w:lineRule="exact"/>
        <w:rPr>
          <w:rFonts w:ascii="Arial" w:hAnsi="Arial" w:cs="Arial"/>
          <w:sz w:val="22"/>
          <w:szCs w:val="22"/>
        </w:rPr>
      </w:pPr>
    </w:p>
    <w:p w:rsidR="00060DA3" w:rsidRPr="00060DA3" w:rsidRDefault="00060DA3" w:rsidP="00060DA3">
      <w:pPr>
        <w:spacing w:line="300" w:lineRule="exact"/>
        <w:rPr>
          <w:rFonts w:ascii="Arial" w:hAnsi="Arial" w:cs="Arial"/>
          <w:sz w:val="22"/>
          <w:szCs w:val="22"/>
        </w:rPr>
      </w:pPr>
    </w:p>
    <w:p w:rsidR="001259B2" w:rsidRDefault="001259B2" w:rsidP="00060DA3">
      <w:pPr>
        <w:spacing w:line="300" w:lineRule="exact"/>
        <w:rPr>
          <w:rFonts w:ascii="Arial" w:hAnsi="Arial" w:cs="Arial"/>
          <w:sz w:val="22"/>
          <w:szCs w:val="22"/>
        </w:rPr>
      </w:pPr>
    </w:p>
    <w:p w:rsidR="001259B2" w:rsidRDefault="001259B2" w:rsidP="00060DA3">
      <w:pPr>
        <w:spacing w:line="300" w:lineRule="exact"/>
        <w:rPr>
          <w:rFonts w:ascii="Arial" w:hAnsi="Arial" w:cs="Arial"/>
          <w:sz w:val="22"/>
          <w:szCs w:val="22"/>
        </w:rPr>
      </w:pPr>
    </w:p>
    <w:p w:rsidR="00060DA3" w:rsidRDefault="00060DA3" w:rsidP="00060DA3">
      <w:pPr>
        <w:spacing w:line="300" w:lineRule="exact"/>
        <w:rPr>
          <w:rFonts w:ascii="Arial" w:hAnsi="Arial" w:cs="Arial"/>
          <w:sz w:val="22"/>
          <w:szCs w:val="22"/>
        </w:rPr>
      </w:pPr>
      <w:r w:rsidRPr="00060DA3">
        <w:rPr>
          <w:rFonts w:ascii="Arial" w:hAnsi="Arial" w:cs="Arial"/>
          <w:sz w:val="22"/>
          <w:szCs w:val="22"/>
        </w:rPr>
        <w:t xml:space="preserve">En conjunto, el presupuesto de gastos en vivienda, sumando el Departamento y sus sociedades públicas adscritas, se sitúa en </w:t>
      </w:r>
      <w:r w:rsidR="00C302E3" w:rsidRPr="008C5420">
        <w:rPr>
          <w:rFonts w:ascii="Arial" w:hAnsi="Arial" w:cs="Arial"/>
          <w:b/>
          <w:sz w:val="22"/>
          <w:szCs w:val="22"/>
        </w:rPr>
        <w:t>327,5 millones</w:t>
      </w:r>
      <w:r w:rsidR="00C302E3">
        <w:rPr>
          <w:rFonts w:ascii="Arial" w:hAnsi="Arial" w:cs="Arial"/>
          <w:sz w:val="22"/>
          <w:szCs w:val="22"/>
        </w:rPr>
        <w:t xml:space="preserve"> de euros. </w:t>
      </w:r>
    </w:p>
    <w:p w:rsidR="00C302E3" w:rsidRDefault="00C302E3" w:rsidP="00060DA3">
      <w:pPr>
        <w:spacing w:line="300" w:lineRule="exact"/>
        <w:rPr>
          <w:rFonts w:ascii="Arial" w:hAnsi="Arial" w:cs="Arial"/>
          <w:sz w:val="22"/>
          <w:szCs w:val="22"/>
          <w:highlight w:val="yellow"/>
        </w:rPr>
      </w:pPr>
    </w:p>
    <w:p w:rsidR="00C302E3" w:rsidRPr="00C302E3" w:rsidRDefault="00C302E3" w:rsidP="00C302E3">
      <w:pPr>
        <w:spacing w:line="300" w:lineRule="exact"/>
        <w:rPr>
          <w:rFonts w:ascii="Arial" w:hAnsi="Arial" w:cs="Arial"/>
          <w:sz w:val="22"/>
          <w:szCs w:val="22"/>
        </w:rPr>
      </w:pPr>
      <w:r w:rsidRPr="00C302E3">
        <w:rPr>
          <w:rFonts w:ascii="Arial" w:hAnsi="Arial" w:cs="Arial"/>
          <w:sz w:val="22"/>
          <w:szCs w:val="22"/>
        </w:rPr>
        <w:t xml:space="preserve">De esta cifra total, el </w:t>
      </w:r>
      <w:r w:rsidRPr="008C5420">
        <w:rPr>
          <w:rFonts w:ascii="Arial" w:hAnsi="Arial" w:cs="Arial"/>
          <w:b/>
          <w:sz w:val="22"/>
          <w:szCs w:val="22"/>
        </w:rPr>
        <w:t>62%</w:t>
      </w:r>
      <w:r w:rsidRPr="00C302E3">
        <w:rPr>
          <w:rFonts w:ascii="Arial" w:hAnsi="Arial" w:cs="Arial"/>
          <w:sz w:val="22"/>
          <w:szCs w:val="22"/>
        </w:rPr>
        <w:t xml:space="preserve"> es gasto directamente imputable a políticas de alquiler y el 26% es gasto imputable a políticas de rehabilitación urbana. Y descontando este último, el </w:t>
      </w:r>
      <w:r w:rsidRPr="008C5420">
        <w:rPr>
          <w:rFonts w:ascii="Arial" w:hAnsi="Arial" w:cs="Arial"/>
          <w:b/>
          <w:sz w:val="22"/>
          <w:szCs w:val="22"/>
        </w:rPr>
        <w:t>84%</w:t>
      </w:r>
      <w:r w:rsidRPr="00C302E3">
        <w:rPr>
          <w:rFonts w:ascii="Arial" w:hAnsi="Arial" w:cs="Arial"/>
          <w:sz w:val="22"/>
          <w:szCs w:val="22"/>
        </w:rPr>
        <w:t xml:space="preserve"> del gasto directo del programa de vivienda se asigna a políticas de alquiler: es decir,  por encima de los términos fijados en la Ley de Vivienda.</w:t>
      </w:r>
    </w:p>
    <w:p w:rsidR="00C302E3" w:rsidRPr="00C302E3" w:rsidRDefault="00C302E3" w:rsidP="00C302E3">
      <w:pPr>
        <w:spacing w:line="300" w:lineRule="exact"/>
        <w:rPr>
          <w:rFonts w:ascii="Arial" w:hAnsi="Arial" w:cs="Arial"/>
          <w:sz w:val="22"/>
          <w:szCs w:val="22"/>
        </w:rPr>
      </w:pPr>
    </w:p>
    <w:p w:rsidR="00C302E3" w:rsidRPr="00C302E3" w:rsidRDefault="00C302E3" w:rsidP="00C302E3">
      <w:pPr>
        <w:spacing w:line="300" w:lineRule="exact"/>
        <w:rPr>
          <w:rFonts w:ascii="Arial" w:hAnsi="Arial" w:cs="Arial"/>
          <w:sz w:val="22"/>
          <w:szCs w:val="22"/>
        </w:rPr>
      </w:pPr>
      <w:r w:rsidRPr="00C302E3">
        <w:rPr>
          <w:rFonts w:ascii="Arial" w:hAnsi="Arial" w:cs="Arial"/>
          <w:sz w:val="22"/>
          <w:szCs w:val="22"/>
        </w:rPr>
        <w:t>Concretamente, el 81% de la iniciativa de los entes públicos de vivienda se destinan a</w:t>
      </w:r>
      <w:r w:rsidR="002B250E">
        <w:rPr>
          <w:rFonts w:ascii="Arial" w:hAnsi="Arial" w:cs="Arial"/>
          <w:sz w:val="22"/>
          <w:szCs w:val="22"/>
        </w:rPr>
        <w:t xml:space="preserve">l </w:t>
      </w:r>
      <w:r w:rsidRPr="00C302E3">
        <w:rPr>
          <w:rFonts w:ascii="Arial" w:hAnsi="Arial" w:cs="Arial"/>
          <w:sz w:val="22"/>
          <w:szCs w:val="22"/>
        </w:rPr>
        <w:t xml:space="preserve">alquiler. </w:t>
      </w:r>
    </w:p>
    <w:p w:rsidR="00C302E3" w:rsidRDefault="00C302E3" w:rsidP="00060DA3">
      <w:pPr>
        <w:spacing w:line="300" w:lineRule="exact"/>
        <w:rPr>
          <w:rFonts w:ascii="Arial" w:hAnsi="Arial" w:cs="Arial"/>
          <w:sz w:val="22"/>
          <w:szCs w:val="22"/>
          <w:highlight w:val="yellow"/>
        </w:rPr>
      </w:pPr>
    </w:p>
    <w:p w:rsidR="00D15111" w:rsidRDefault="007A439B" w:rsidP="00060DA3">
      <w:pPr>
        <w:spacing w:line="300" w:lineRule="exact"/>
        <w:rPr>
          <w:rFonts w:ascii="Arial" w:hAnsi="Arial" w:cs="Arial"/>
          <w:sz w:val="22"/>
          <w:szCs w:val="22"/>
        </w:rPr>
      </w:pPr>
      <w:r w:rsidRPr="007A439B">
        <w:rPr>
          <w:rFonts w:ascii="Arial" w:hAnsi="Arial" w:cs="Arial"/>
          <w:sz w:val="22"/>
          <w:szCs w:val="22"/>
        </w:rPr>
        <w:t xml:space="preserve">El programa de </w:t>
      </w:r>
      <w:r>
        <w:rPr>
          <w:rFonts w:ascii="Arial" w:hAnsi="Arial" w:cs="Arial"/>
          <w:sz w:val="22"/>
          <w:szCs w:val="22"/>
        </w:rPr>
        <w:t xml:space="preserve">Vivienda </w:t>
      </w:r>
      <w:r w:rsidR="00D15111">
        <w:rPr>
          <w:rFonts w:ascii="Arial" w:hAnsi="Arial" w:cs="Arial"/>
          <w:sz w:val="22"/>
          <w:szCs w:val="22"/>
        </w:rPr>
        <w:t>se centra en tres objetivos:</w:t>
      </w:r>
    </w:p>
    <w:p w:rsidR="00D15111" w:rsidRDefault="00D15111" w:rsidP="00060DA3">
      <w:pPr>
        <w:spacing w:line="300" w:lineRule="exact"/>
        <w:rPr>
          <w:rFonts w:ascii="Arial" w:hAnsi="Arial" w:cs="Arial"/>
          <w:sz w:val="22"/>
          <w:szCs w:val="22"/>
        </w:rPr>
      </w:pPr>
    </w:p>
    <w:p w:rsidR="00F97DF0" w:rsidRDefault="00D15111" w:rsidP="00F97DF0">
      <w:pPr>
        <w:pStyle w:val="Prrafodelista"/>
        <w:numPr>
          <w:ilvl w:val="0"/>
          <w:numId w:val="18"/>
        </w:numPr>
        <w:spacing w:line="300" w:lineRule="exact"/>
        <w:rPr>
          <w:rFonts w:ascii="Arial" w:hAnsi="Arial" w:cs="Arial"/>
          <w:sz w:val="22"/>
          <w:szCs w:val="22"/>
        </w:rPr>
      </w:pPr>
      <w:r w:rsidRPr="00BE4474">
        <w:rPr>
          <w:rFonts w:ascii="Arial" w:hAnsi="Arial" w:cs="Arial"/>
          <w:b/>
          <w:sz w:val="22"/>
          <w:szCs w:val="22"/>
        </w:rPr>
        <w:t>Desarrollar reglamentariamente la Ley de Vivienda y garantizar el Derecho Subjetivo a la Vivienda.</w:t>
      </w:r>
      <w:r w:rsidRPr="00BE4474">
        <w:rPr>
          <w:rFonts w:ascii="Arial" w:hAnsi="Arial" w:cs="Arial"/>
          <w:sz w:val="22"/>
          <w:szCs w:val="22"/>
        </w:rPr>
        <w:t xml:space="preserve"> </w:t>
      </w:r>
      <w:r w:rsidR="00BE4474" w:rsidRPr="00BE4474">
        <w:rPr>
          <w:rFonts w:ascii="Arial" w:hAnsi="Arial" w:cs="Arial"/>
          <w:sz w:val="22"/>
          <w:szCs w:val="22"/>
        </w:rPr>
        <w:t xml:space="preserve">Para satisfacer este derecho, en 2018 se adjudicarán viviendas en alquiler mediante la rotación del parque público gestionado por Alokabide,  las nuevas captaciones de Bizigune, la adjudicación de nuevas viviendas sociales y alojamientos dotacionales, y el pago de prestaciones económicas de vivienda (PEV).  Se estima en </w:t>
      </w:r>
      <w:r w:rsidR="00BE4474" w:rsidRPr="00BE4474">
        <w:rPr>
          <w:rFonts w:ascii="Arial" w:hAnsi="Arial" w:cs="Arial"/>
          <w:b/>
          <w:sz w:val="22"/>
          <w:szCs w:val="22"/>
        </w:rPr>
        <w:t>2.500 el número de hogares</w:t>
      </w:r>
      <w:r w:rsidR="00BE4474" w:rsidRPr="00BE4474">
        <w:rPr>
          <w:rFonts w:ascii="Arial" w:hAnsi="Arial" w:cs="Arial"/>
          <w:sz w:val="22"/>
          <w:szCs w:val="22"/>
        </w:rPr>
        <w:t xml:space="preserve"> que tendrán reconocido el DSV al cierre de ejercicio.</w:t>
      </w:r>
      <w:r w:rsidR="00F97DF0">
        <w:rPr>
          <w:rFonts w:ascii="Arial" w:hAnsi="Arial" w:cs="Arial"/>
          <w:sz w:val="22"/>
          <w:szCs w:val="22"/>
        </w:rPr>
        <w:t xml:space="preserve"> </w:t>
      </w:r>
      <w:r w:rsidR="00BE4474" w:rsidRPr="00F97DF0">
        <w:rPr>
          <w:rFonts w:ascii="Arial" w:hAnsi="Arial" w:cs="Arial"/>
          <w:sz w:val="22"/>
          <w:szCs w:val="22"/>
        </w:rPr>
        <w:t>La partida destinada a cubrir esas prestaciones económicas se ha dotado con</w:t>
      </w:r>
      <w:r w:rsidR="008C5420">
        <w:rPr>
          <w:rFonts w:ascii="Arial" w:hAnsi="Arial" w:cs="Arial"/>
          <w:sz w:val="22"/>
          <w:szCs w:val="22"/>
        </w:rPr>
        <w:t xml:space="preserve"> una partida ampliable de</w:t>
      </w:r>
      <w:r w:rsidR="00BE4474" w:rsidRPr="00F97DF0">
        <w:rPr>
          <w:rFonts w:ascii="Arial" w:hAnsi="Arial" w:cs="Arial"/>
          <w:sz w:val="22"/>
          <w:szCs w:val="22"/>
        </w:rPr>
        <w:t xml:space="preserve"> 2 millones de euros.</w:t>
      </w:r>
    </w:p>
    <w:p w:rsidR="001259B2" w:rsidRDefault="001259B2" w:rsidP="001259B2">
      <w:pPr>
        <w:pStyle w:val="Prrafodelista"/>
        <w:spacing w:line="300" w:lineRule="exact"/>
        <w:rPr>
          <w:rFonts w:ascii="Arial" w:hAnsi="Arial" w:cs="Arial"/>
          <w:sz w:val="22"/>
          <w:szCs w:val="22"/>
        </w:rPr>
      </w:pPr>
    </w:p>
    <w:p w:rsidR="00F97DF0" w:rsidRDefault="00F97DF0" w:rsidP="00F97DF0">
      <w:pPr>
        <w:pStyle w:val="Prrafodelista"/>
        <w:numPr>
          <w:ilvl w:val="0"/>
          <w:numId w:val="18"/>
        </w:numPr>
        <w:spacing w:line="300" w:lineRule="exact"/>
        <w:ind w:left="714" w:hanging="357"/>
        <w:rPr>
          <w:rFonts w:ascii="Arial" w:hAnsi="Arial" w:cs="Arial"/>
          <w:sz w:val="22"/>
          <w:szCs w:val="22"/>
        </w:rPr>
      </w:pPr>
      <w:r w:rsidRPr="00F97DF0">
        <w:rPr>
          <w:rFonts w:ascii="Arial" w:hAnsi="Arial" w:cs="Arial"/>
          <w:b/>
          <w:sz w:val="22"/>
          <w:szCs w:val="22"/>
        </w:rPr>
        <w:t>El impulso del alquiler</w:t>
      </w:r>
      <w:r w:rsidRPr="00F97DF0">
        <w:rPr>
          <w:rFonts w:ascii="Arial" w:hAnsi="Arial" w:cs="Arial"/>
          <w:sz w:val="22"/>
          <w:szCs w:val="22"/>
        </w:rPr>
        <w:t xml:space="preserve">, a través de la nueva edificación, la captación de viviendas deshabitadas y las ayudas directas al pago del alquiler. El objetivo para 2018 es alcanzar </w:t>
      </w:r>
      <w:r w:rsidRPr="00F97DF0">
        <w:rPr>
          <w:rFonts w:ascii="Arial" w:hAnsi="Arial" w:cs="Arial"/>
          <w:b/>
          <w:sz w:val="22"/>
          <w:szCs w:val="22"/>
        </w:rPr>
        <w:t>las 5.400 viviendas captadas</w:t>
      </w:r>
      <w:r w:rsidRPr="00F97DF0">
        <w:rPr>
          <w:rFonts w:ascii="Arial" w:hAnsi="Arial" w:cs="Arial"/>
          <w:sz w:val="22"/>
          <w:szCs w:val="22"/>
        </w:rPr>
        <w:t xml:space="preserve"> por el programa Bizigune (la partida sube un 8%, hasta los 26 millones, y la renta máxima a abonar a los propietarios sube a 600 € desde los 525 actuales)  y otras </w:t>
      </w:r>
      <w:r w:rsidRPr="00F97DF0">
        <w:rPr>
          <w:rFonts w:ascii="Arial" w:hAnsi="Arial" w:cs="Arial"/>
          <w:b/>
          <w:sz w:val="22"/>
          <w:szCs w:val="22"/>
        </w:rPr>
        <w:t>400 viviendas</w:t>
      </w:r>
      <w:r w:rsidRPr="00F97DF0">
        <w:rPr>
          <w:rFonts w:ascii="Arial" w:hAnsi="Arial" w:cs="Arial"/>
          <w:sz w:val="22"/>
          <w:szCs w:val="22"/>
        </w:rPr>
        <w:t xml:space="preserve"> a través del programa  ASAP. </w:t>
      </w:r>
    </w:p>
    <w:p w:rsidR="001259B2" w:rsidRPr="001259B2" w:rsidRDefault="001259B2" w:rsidP="001259B2">
      <w:pPr>
        <w:spacing w:line="300" w:lineRule="exact"/>
        <w:rPr>
          <w:rFonts w:ascii="Arial" w:hAnsi="Arial" w:cs="Arial"/>
          <w:sz w:val="22"/>
          <w:szCs w:val="22"/>
        </w:rPr>
      </w:pPr>
    </w:p>
    <w:p w:rsidR="00F97DF0" w:rsidRPr="0053072D" w:rsidRDefault="00F97DF0" w:rsidP="00F97DF0">
      <w:pPr>
        <w:pStyle w:val="Prrafodelista"/>
        <w:numPr>
          <w:ilvl w:val="0"/>
          <w:numId w:val="18"/>
        </w:numPr>
        <w:spacing w:line="300" w:lineRule="exact"/>
        <w:rPr>
          <w:rFonts w:ascii="Arial" w:hAnsi="Arial" w:cs="Arial"/>
          <w:b/>
          <w:sz w:val="22"/>
          <w:szCs w:val="22"/>
        </w:rPr>
      </w:pPr>
      <w:r w:rsidRPr="00F97DF0">
        <w:rPr>
          <w:rFonts w:ascii="Arial" w:hAnsi="Arial" w:cs="Arial"/>
          <w:b/>
          <w:sz w:val="22"/>
          <w:szCs w:val="22"/>
        </w:rPr>
        <w:t>Impulsar la rehabilitación del parque residencial</w:t>
      </w:r>
      <w:r w:rsidR="0053072D">
        <w:rPr>
          <w:rFonts w:ascii="Arial" w:hAnsi="Arial" w:cs="Arial"/>
          <w:b/>
          <w:sz w:val="22"/>
          <w:szCs w:val="22"/>
        </w:rPr>
        <w:t>.</w:t>
      </w:r>
      <w:r w:rsidR="0053072D" w:rsidRPr="0053072D">
        <w:rPr>
          <w:rFonts w:cstheme="minorHAnsi"/>
          <w:sz w:val="32"/>
          <w:szCs w:val="32"/>
        </w:rPr>
        <w:t xml:space="preserve"> </w:t>
      </w:r>
      <w:r w:rsidR="0053072D" w:rsidRPr="0053072D">
        <w:rPr>
          <w:rFonts w:ascii="Arial" w:hAnsi="Arial" w:cs="Arial"/>
          <w:sz w:val="22"/>
          <w:szCs w:val="22"/>
        </w:rPr>
        <w:t xml:space="preserve">El próximo año </w:t>
      </w:r>
      <w:r w:rsidR="0053072D" w:rsidRPr="0053072D">
        <w:rPr>
          <w:rFonts w:ascii="Arial" w:hAnsi="Arial" w:cs="Arial"/>
          <w:b/>
          <w:sz w:val="22"/>
          <w:szCs w:val="22"/>
        </w:rPr>
        <w:t>casi 1 de cada 3 euros</w:t>
      </w:r>
      <w:r w:rsidR="0053072D" w:rsidRPr="0053072D">
        <w:rPr>
          <w:rFonts w:ascii="Arial" w:hAnsi="Arial" w:cs="Arial"/>
          <w:sz w:val="22"/>
          <w:szCs w:val="22"/>
        </w:rPr>
        <w:t xml:space="preserve"> de gasto en vivienda se destinarán a políticas de </w:t>
      </w:r>
      <w:r w:rsidR="0053072D" w:rsidRPr="0053072D">
        <w:rPr>
          <w:rFonts w:ascii="Arial" w:hAnsi="Arial" w:cs="Arial"/>
          <w:b/>
          <w:sz w:val="22"/>
          <w:szCs w:val="22"/>
        </w:rPr>
        <w:t>rehabilitación urbana</w:t>
      </w:r>
      <w:r w:rsidR="0053072D" w:rsidRPr="0053072D">
        <w:rPr>
          <w:rFonts w:ascii="Arial" w:hAnsi="Arial" w:cs="Arial"/>
          <w:sz w:val="22"/>
          <w:szCs w:val="22"/>
        </w:rPr>
        <w:t xml:space="preserve">. Con ellas se pretende renovar nuestro envejecido parque de vivienda, mejorando la accesibilidad, sus condiciones de </w:t>
      </w:r>
      <w:r w:rsidR="008257C7">
        <w:rPr>
          <w:rFonts w:ascii="Arial" w:hAnsi="Arial" w:cs="Arial"/>
          <w:sz w:val="22"/>
          <w:szCs w:val="22"/>
        </w:rPr>
        <w:t>energética</w:t>
      </w:r>
      <w:r w:rsidR="002B250E">
        <w:rPr>
          <w:rFonts w:ascii="Arial" w:hAnsi="Arial" w:cs="Arial"/>
          <w:sz w:val="22"/>
          <w:szCs w:val="22"/>
        </w:rPr>
        <w:t>s</w:t>
      </w:r>
      <w:r w:rsidR="008257C7">
        <w:rPr>
          <w:rFonts w:ascii="Arial" w:hAnsi="Arial" w:cs="Arial"/>
          <w:sz w:val="22"/>
          <w:szCs w:val="22"/>
        </w:rPr>
        <w:t xml:space="preserve"> </w:t>
      </w:r>
      <w:r w:rsidR="0053072D" w:rsidRPr="0053072D">
        <w:rPr>
          <w:rFonts w:ascii="Arial" w:hAnsi="Arial" w:cs="Arial"/>
          <w:sz w:val="22"/>
          <w:szCs w:val="22"/>
        </w:rPr>
        <w:t>y de habitabilidad</w:t>
      </w:r>
      <w:r w:rsidR="008257C7">
        <w:rPr>
          <w:rFonts w:ascii="Arial" w:hAnsi="Arial" w:cs="Arial"/>
          <w:sz w:val="22"/>
          <w:szCs w:val="22"/>
        </w:rPr>
        <w:t>,</w:t>
      </w:r>
      <w:r w:rsidR="0053072D" w:rsidRPr="0053072D">
        <w:rPr>
          <w:rFonts w:ascii="Arial" w:hAnsi="Arial" w:cs="Arial"/>
          <w:sz w:val="22"/>
          <w:szCs w:val="22"/>
        </w:rPr>
        <w:t xml:space="preserve"> y favoreciendo la integración social de las personas que viven en los barrios más degradados.</w:t>
      </w:r>
    </w:p>
    <w:p w:rsidR="0053072D" w:rsidRDefault="0053072D" w:rsidP="0053072D">
      <w:pPr>
        <w:pStyle w:val="Prrafodelista"/>
        <w:rPr>
          <w:rFonts w:ascii="Arial" w:hAnsi="Arial" w:cs="Arial"/>
          <w:sz w:val="22"/>
          <w:szCs w:val="22"/>
        </w:rPr>
      </w:pPr>
    </w:p>
    <w:p w:rsidR="008257C7" w:rsidRDefault="0053072D" w:rsidP="008257C7">
      <w:pPr>
        <w:pStyle w:val="Prrafodelista"/>
        <w:spacing w:line="300" w:lineRule="exact"/>
        <w:rPr>
          <w:rFonts w:ascii="Arial" w:hAnsi="Arial" w:cs="Arial"/>
          <w:sz w:val="22"/>
          <w:szCs w:val="22"/>
        </w:rPr>
      </w:pPr>
      <w:r w:rsidRPr="0053072D">
        <w:rPr>
          <w:rFonts w:ascii="Arial" w:hAnsi="Arial" w:cs="Arial"/>
          <w:sz w:val="22"/>
          <w:szCs w:val="22"/>
        </w:rPr>
        <w:t xml:space="preserve">Se va a reforzar el impulso a las </w:t>
      </w:r>
      <w:r w:rsidRPr="0053072D">
        <w:rPr>
          <w:rFonts w:ascii="Arial" w:hAnsi="Arial" w:cs="Arial"/>
          <w:b/>
          <w:sz w:val="22"/>
          <w:szCs w:val="22"/>
        </w:rPr>
        <w:t>Inspecciones Técnicas de Edificios</w:t>
      </w:r>
      <w:r w:rsidRPr="0053072D">
        <w:rPr>
          <w:rFonts w:ascii="Arial" w:hAnsi="Arial" w:cs="Arial"/>
          <w:sz w:val="22"/>
          <w:szCs w:val="22"/>
        </w:rPr>
        <w:t xml:space="preserve"> (ITEs), dando apoyo a </w:t>
      </w:r>
      <w:r w:rsidR="001B0E76">
        <w:rPr>
          <w:rFonts w:ascii="Arial" w:hAnsi="Arial" w:cs="Arial"/>
          <w:sz w:val="22"/>
          <w:szCs w:val="22"/>
        </w:rPr>
        <w:t xml:space="preserve">los ayuntamientos en esta tarea, realizando </w:t>
      </w:r>
      <w:r w:rsidRPr="0053072D">
        <w:rPr>
          <w:rFonts w:ascii="Arial" w:hAnsi="Arial" w:cs="Arial"/>
          <w:sz w:val="22"/>
          <w:szCs w:val="22"/>
        </w:rPr>
        <w:t xml:space="preserve">un mayor esfuerzo en materia de </w:t>
      </w:r>
      <w:r w:rsidRPr="0053072D">
        <w:rPr>
          <w:rFonts w:ascii="Arial" w:hAnsi="Arial" w:cs="Arial"/>
          <w:b/>
          <w:sz w:val="22"/>
          <w:szCs w:val="22"/>
        </w:rPr>
        <w:t>accesibilidad</w:t>
      </w:r>
      <w:r w:rsidRPr="0053072D">
        <w:rPr>
          <w:rFonts w:ascii="Arial" w:hAnsi="Arial" w:cs="Arial"/>
          <w:sz w:val="22"/>
          <w:szCs w:val="22"/>
        </w:rPr>
        <w:t>.</w:t>
      </w:r>
      <w:r>
        <w:rPr>
          <w:rFonts w:ascii="Arial" w:hAnsi="Arial" w:cs="Arial"/>
          <w:sz w:val="22"/>
          <w:szCs w:val="22"/>
        </w:rPr>
        <w:t xml:space="preserve"> </w:t>
      </w:r>
      <w:r w:rsidRPr="0053072D">
        <w:rPr>
          <w:rFonts w:ascii="Arial" w:hAnsi="Arial" w:cs="Arial"/>
          <w:sz w:val="22"/>
          <w:szCs w:val="22"/>
        </w:rPr>
        <w:t xml:space="preserve">Así, el </w:t>
      </w:r>
      <w:r w:rsidRPr="0053072D">
        <w:rPr>
          <w:rFonts w:ascii="Arial" w:hAnsi="Arial" w:cs="Arial"/>
          <w:b/>
          <w:sz w:val="22"/>
          <w:szCs w:val="22"/>
        </w:rPr>
        <w:t>Plan Renove Rehabilitación</w:t>
      </w:r>
      <w:r w:rsidRPr="0053072D">
        <w:rPr>
          <w:rFonts w:ascii="Arial" w:hAnsi="Arial" w:cs="Arial"/>
          <w:sz w:val="22"/>
          <w:szCs w:val="22"/>
        </w:rPr>
        <w:t xml:space="preserve"> concentrará todas las actuaciones en accesibilidad y rehabilitación urbana, con el objetivo de incidir, con efectos multiplicadores, en la actividad económica del sector y en el mantenimiento y creación de empleo vinculado a este nuevo nicho de mercado. </w:t>
      </w:r>
    </w:p>
    <w:p w:rsidR="008257C7" w:rsidRDefault="008257C7" w:rsidP="008257C7">
      <w:pPr>
        <w:pStyle w:val="Prrafodelista"/>
        <w:spacing w:line="300" w:lineRule="exact"/>
        <w:rPr>
          <w:rFonts w:ascii="Arial" w:hAnsi="Arial" w:cs="Arial"/>
          <w:sz w:val="22"/>
          <w:szCs w:val="22"/>
        </w:rPr>
      </w:pPr>
    </w:p>
    <w:p w:rsidR="001259B2" w:rsidRDefault="001259B2" w:rsidP="008257C7">
      <w:pPr>
        <w:pStyle w:val="Prrafodelista"/>
        <w:spacing w:line="300" w:lineRule="exact"/>
        <w:rPr>
          <w:rFonts w:ascii="Arial" w:hAnsi="Arial" w:cs="Arial"/>
          <w:sz w:val="22"/>
          <w:szCs w:val="22"/>
        </w:rPr>
      </w:pPr>
    </w:p>
    <w:p w:rsidR="001259B2" w:rsidRDefault="001259B2" w:rsidP="008257C7">
      <w:pPr>
        <w:pStyle w:val="Prrafodelista"/>
        <w:spacing w:line="300" w:lineRule="exact"/>
        <w:rPr>
          <w:rFonts w:ascii="Arial" w:hAnsi="Arial" w:cs="Arial"/>
          <w:sz w:val="22"/>
          <w:szCs w:val="22"/>
        </w:rPr>
      </w:pPr>
    </w:p>
    <w:p w:rsidR="001259B2" w:rsidRDefault="001259B2" w:rsidP="008257C7">
      <w:pPr>
        <w:pStyle w:val="Prrafodelista"/>
        <w:spacing w:line="300" w:lineRule="exact"/>
        <w:rPr>
          <w:rFonts w:ascii="Arial" w:hAnsi="Arial" w:cs="Arial"/>
          <w:sz w:val="22"/>
          <w:szCs w:val="22"/>
        </w:rPr>
      </w:pPr>
    </w:p>
    <w:p w:rsidR="0053072D" w:rsidRPr="0053072D" w:rsidRDefault="0053072D" w:rsidP="008257C7">
      <w:pPr>
        <w:pStyle w:val="Prrafodelista"/>
        <w:spacing w:line="300" w:lineRule="exact"/>
        <w:rPr>
          <w:rFonts w:ascii="Arial" w:hAnsi="Arial" w:cs="Arial"/>
          <w:sz w:val="22"/>
          <w:szCs w:val="22"/>
        </w:rPr>
      </w:pPr>
      <w:r w:rsidRPr="0053072D">
        <w:rPr>
          <w:rFonts w:ascii="Arial" w:hAnsi="Arial" w:cs="Arial"/>
          <w:sz w:val="22"/>
          <w:szCs w:val="22"/>
        </w:rPr>
        <w:t xml:space="preserve">En 2018 contará con </w:t>
      </w:r>
      <w:r w:rsidRPr="0053072D">
        <w:rPr>
          <w:rFonts w:ascii="Arial" w:hAnsi="Arial" w:cs="Arial"/>
          <w:b/>
          <w:sz w:val="22"/>
          <w:szCs w:val="22"/>
        </w:rPr>
        <w:t>21 millones</w:t>
      </w:r>
      <w:r w:rsidRPr="0053072D">
        <w:rPr>
          <w:rFonts w:ascii="Arial" w:hAnsi="Arial" w:cs="Arial"/>
          <w:sz w:val="22"/>
          <w:szCs w:val="22"/>
        </w:rPr>
        <w:t xml:space="preserve"> de euros para ayudar a  propietarios y comunidades de vecinos en la rehabilitación de </w:t>
      </w:r>
      <w:r w:rsidRPr="0053072D">
        <w:rPr>
          <w:rFonts w:ascii="Arial" w:hAnsi="Arial" w:cs="Arial"/>
          <w:b/>
          <w:sz w:val="22"/>
          <w:szCs w:val="22"/>
        </w:rPr>
        <w:t>15.000 viviendas</w:t>
      </w:r>
      <w:r w:rsidRPr="0053072D">
        <w:rPr>
          <w:rFonts w:ascii="Arial" w:hAnsi="Arial" w:cs="Arial"/>
          <w:sz w:val="22"/>
          <w:szCs w:val="22"/>
        </w:rPr>
        <w:t xml:space="preserve">. Para la mejora específica de la eficiencia energética de grupos de edificios se recogen </w:t>
      </w:r>
      <w:r w:rsidRPr="0053072D">
        <w:rPr>
          <w:rFonts w:ascii="Arial" w:hAnsi="Arial" w:cs="Arial"/>
          <w:b/>
          <w:sz w:val="22"/>
          <w:szCs w:val="22"/>
        </w:rPr>
        <w:t>6,4 millones de euros</w:t>
      </w:r>
      <w:r w:rsidRPr="0053072D">
        <w:rPr>
          <w:rFonts w:ascii="Arial" w:hAnsi="Arial" w:cs="Arial"/>
          <w:sz w:val="22"/>
          <w:szCs w:val="22"/>
        </w:rPr>
        <w:t xml:space="preserve">, con el objetivo de alcanzar </w:t>
      </w:r>
      <w:r w:rsidRPr="0053072D">
        <w:rPr>
          <w:rFonts w:ascii="Arial" w:hAnsi="Arial" w:cs="Arial"/>
          <w:b/>
          <w:sz w:val="22"/>
          <w:szCs w:val="22"/>
        </w:rPr>
        <w:t>1.322 viviendas</w:t>
      </w:r>
      <w:r w:rsidRPr="0053072D">
        <w:rPr>
          <w:rFonts w:ascii="Arial" w:hAnsi="Arial" w:cs="Arial"/>
          <w:sz w:val="22"/>
          <w:szCs w:val="22"/>
        </w:rPr>
        <w:t xml:space="preserve">. Otros 6,4 millones de euros irán destinados a financiar </w:t>
      </w:r>
      <w:r w:rsidRPr="0053072D">
        <w:rPr>
          <w:rFonts w:ascii="Arial" w:hAnsi="Arial" w:cs="Arial"/>
          <w:b/>
          <w:sz w:val="22"/>
          <w:szCs w:val="22"/>
        </w:rPr>
        <w:t>140 nuevos proyectos</w:t>
      </w:r>
      <w:r w:rsidRPr="0053072D">
        <w:rPr>
          <w:rFonts w:ascii="Arial" w:hAnsi="Arial" w:cs="Arial"/>
          <w:sz w:val="22"/>
          <w:szCs w:val="22"/>
        </w:rPr>
        <w:t xml:space="preserve"> que desarrollen los ayuntamientos en materia de </w:t>
      </w:r>
      <w:r w:rsidRPr="0053072D">
        <w:rPr>
          <w:rFonts w:ascii="Arial" w:hAnsi="Arial" w:cs="Arial"/>
          <w:b/>
          <w:sz w:val="22"/>
          <w:szCs w:val="22"/>
        </w:rPr>
        <w:t>accesibilidad</w:t>
      </w:r>
      <w:r w:rsidRPr="0053072D">
        <w:rPr>
          <w:rFonts w:ascii="Arial" w:hAnsi="Arial" w:cs="Arial"/>
          <w:sz w:val="22"/>
          <w:szCs w:val="22"/>
        </w:rPr>
        <w:t xml:space="preserve"> y supresión de barreras arquitectónicas en espacios urbanos. Sestao Berri recibirá </w:t>
      </w:r>
      <w:r w:rsidRPr="0053072D">
        <w:rPr>
          <w:rFonts w:ascii="Arial" w:hAnsi="Arial" w:cs="Arial"/>
          <w:b/>
          <w:sz w:val="22"/>
          <w:szCs w:val="22"/>
        </w:rPr>
        <w:t>1,9 millones</w:t>
      </w:r>
      <w:r w:rsidRPr="0053072D">
        <w:rPr>
          <w:rFonts w:ascii="Arial" w:hAnsi="Arial" w:cs="Arial"/>
          <w:sz w:val="22"/>
          <w:szCs w:val="22"/>
        </w:rPr>
        <w:t xml:space="preserve"> euros para actuaciones de regeneración en Sestao. Y Visesa, </w:t>
      </w:r>
      <w:r w:rsidRPr="0053072D">
        <w:rPr>
          <w:rFonts w:ascii="Arial" w:hAnsi="Arial" w:cs="Arial"/>
          <w:b/>
          <w:sz w:val="22"/>
          <w:szCs w:val="22"/>
        </w:rPr>
        <w:t>5,9 millones</w:t>
      </w:r>
      <w:r w:rsidRPr="0053072D">
        <w:rPr>
          <w:rFonts w:ascii="Arial" w:hAnsi="Arial" w:cs="Arial"/>
          <w:sz w:val="22"/>
          <w:szCs w:val="22"/>
        </w:rPr>
        <w:t xml:space="preserve"> de euros, en gastos comprometidos hasta 2019, para la rehabilitación integral del </w:t>
      </w:r>
      <w:r w:rsidRPr="0053072D">
        <w:rPr>
          <w:rFonts w:ascii="Arial" w:hAnsi="Arial" w:cs="Arial"/>
          <w:b/>
          <w:sz w:val="22"/>
          <w:szCs w:val="22"/>
        </w:rPr>
        <w:t>barrio de Coronación</w:t>
      </w:r>
      <w:r w:rsidRPr="0053072D">
        <w:rPr>
          <w:rFonts w:ascii="Arial" w:hAnsi="Arial" w:cs="Arial"/>
          <w:sz w:val="22"/>
          <w:szCs w:val="22"/>
        </w:rPr>
        <w:t xml:space="preserve"> de Vitoria-Gasteiz.</w:t>
      </w:r>
    </w:p>
    <w:p w:rsidR="0053072D" w:rsidRPr="0053072D" w:rsidRDefault="0053072D" w:rsidP="0053072D">
      <w:pPr>
        <w:pStyle w:val="Prrafodelista"/>
        <w:spacing w:line="300" w:lineRule="exact"/>
        <w:rPr>
          <w:rFonts w:ascii="Arial" w:hAnsi="Arial" w:cs="Arial"/>
          <w:b/>
          <w:sz w:val="22"/>
          <w:szCs w:val="22"/>
        </w:rPr>
      </w:pPr>
    </w:p>
    <w:p w:rsidR="00F97DF0" w:rsidRPr="00BE4474" w:rsidRDefault="00F97DF0" w:rsidP="00BE4474">
      <w:pPr>
        <w:pStyle w:val="Prrafodelista"/>
        <w:spacing w:line="300" w:lineRule="exact"/>
        <w:rPr>
          <w:rFonts w:ascii="Arial" w:hAnsi="Arial" w:cs="Arial"/>
          <w:sz w:val="22"/>
          <w:szCs w:val="22"/>
        </w:rPr>
      </w:pPr>
    </w:p>
    <w:p w:rsidR="00060DA3" w:rsidRPr="00060DA3" w:rsidRDefault="00060DA3" w:rsidP="00060DA3">
      <w:pPr>
        <w:spacing w:line="300" w:lineRule="exact"/>
        <w:rPr>
          <w:sz w:val="22"/>
          <w:szCs w:val="22"/>
        </w:rPr>
      </w:pPr>
    </w:p>
    <w:p w:rsidR="002E611B" w:rsidRPr="00060DA3" w:rsidRDefault="002E611B" w:rsidP="00060DA3">
      <w:pPr>
        <w:spacing w:line="300" w:lineRule="exact"/>
        <w:jc w:val="right"/>
        <w:rPr>
          <w:rFonts w:ascii="Arial" w:hAnsi="Arial" w:cs="Arial"/>
          <w:sz w:val="22"/>
          <w:szCs w:val="22"/>
          <w:lang w:val="es-ES"/>
        </w:rPr>
      </w:pPr>
      <w:r w:rsidRPr="00060DA3">
        <w:rPr>
          <w:rFonts w:ascii="Arial" w:hAnsi="Arial" w:cs="Arial"/>
          <w:sz w:val="22"/>
          <w:szCs w:val="22"/>
          <w:lang w:val="es-ES"/>
        </w:rPr>
        <w:t xml:space="preserve">Vitoria-Gasteiz, </w:t>
      </w:r>
      <w:r w:rsidR="001B0E76">
        <w:rPr>
          <w:rFonts w:ascii="Arial" w:hAnsi="Arial" w:cs="Arial"/>
          <w:sz w:val="22"/>
          <w:szCs w:val="22"/>
          <w:lang w:val="es-ES"/>
        </w:rPr>
        <w:t>7</w:t>
      </w:r>
      <w:r w:rsidRPr="00060DA3">
        <w:rPr>
          <w:rFonts w:ascii="Arial" w:hAnsi="Arial" w:cs="Arial"/>
          <w:sz w:val="22"/>
          <w:szCs w:val="22"/>
          <w:lang w:val="es-ES"/>
        </w:rPr>
        <w:t xml:space="preserve"> de </w:t>
      </w:r>
      <w:r w:rsidR="001B0E76">
        <w:rPr>
          <w:rFonts w:ascii="Arial" w:hAnsi="Arial" w:cs="Arial"/>
          <w:sz w:val="22"/>
          <w:szCs w:val="22"/>
          <w:lang w:val="es-ES"/>
        </w:rPr>
        <w:t>noviembre</w:t>
      </w:r>
      <w:r w:rsidRPr="00060DA3">
        <w:rPr>
          <w:rFonts w:ascii="Arial" w:hAnsi="Arial" w:cs="Arial"/>
          <w:sz w:val="22"/>
          <w:szCs w:val="22"/>
          <w:lang w:val="es-ES"/>
        </w:rPr>
        <w:t xml:space="preserve"> de 2017</w:t>
      </w:r>
    </w:p>
    <w:sectPr w:rsidR="002E611B" w:rsidRPr="00060DA3" w:rsidSect="001259B2">
      <w:headerReference w:type="default" r:id="rId8"/>
      <w:footerReference w:type="even" r:id="rId9"/>
      <w:footerReference w:type="default" r:id="rId10"/>
      <w:pgSz w:w="11907" w:h="16840" w:code="9"/>
      <w:pgMar w:top="1440" w:right="992" w:bottom="1440" w:left="1440" w:header="720" w:footer="720" w:gutter="0"/>
      <w:paperSrc w:first="7" w:other="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751" w:rsidRDefault="00662751">
      <w:r>
        <w:separator/>
      </w:r>
    </w:p>
  </w:endnote>
  <w:endnote w:type="continuationSeparator" w:id="0">
    <w:p w:rsidR="00662751" w:rsidRDefault="0066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7B" w:rsidRDefault="00763024">
    <w:pPr>
      <w:pStyle w:val="Piedepgina"/>
      <w:framePr w:wrap="around" w:vAnchor="text" w:hAnchor="margin" w:xAlign="right" w:y="1"/>
      <w:rPr>
        <w:rStyle w:val="Nmerodepgina"/>
      </w:rPr>
    </w:pPr>
    <w:r>
      <w:rPr>
        <w:rStyle w:val="Nmerodepgina"/>
      </w:rPr>
      <w:fldChar w:fldCharType="begin"/>
    </w:r>
    <w:r w:rsidR="00C9767B">
      <w:rPr>
        <w:rStyle w:val="Nmerodepgina"/>
      </w:rPr>
      <w:instrText xml:space="preserve">PAGE  </w:instrText>
    </w:r>
    <w:r>
      <w:rPr>
        <w:rStyle w:val="Nmerodepgina"/>
      </w:rPr>
      <w:fldChar w:fldCharType="separate"/>
    </w:r>
    <w:r w:rsidR="00B932AD">
      <w:rPr>
        <w:rStyle w:val="Nmerodepgina"/>
        <w:noProof/>
      </w:rPr>
      <w:t>2</w:t>
    </w:r>
    <w:r>
      <w:rPr>
        <w:rStyle w:val="Nmerodepgina"/>
      </w:rPr>
      <w:fldChar w:fldCharType="end"/>
    </w:r>
  </w:p>
  <w:p w:rsidR="00C9767B" w:rsidRDefault="00C9767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7B" w:rsidRPr="00661897" w:rsidRDefault="00763024">
    <w:pPr>
      <w:pStyle w:val="Piedepgina"/>
      <w:framePr w:wrap="around" w:vAnchor="text" w:hAnchor="margin" w:xAlign="right" w:y="1"/>
      <w:rPr>
        <w:rStyle w:val="Nmerodepgina"/>
      </w:rPr>
    </w:pPr>
    <w:r w:rsidRPr="00661897">
      <w:rPr>
        <w:rStyle w:val="Nmerodepgina"/>
      </w:rPr>
      <w:fldChar w:fldCharType="begin"/>
    </w:r>
    <w:r w:rsidR="00C9767B" w:rsidRPr="00661897">
      <w:rPr>
        <w:rStyle w:val="Nmerodepgina"/>
      </w:rPr>
      <w:instrText xml:space="preserve">PAGE  </w:instrText>
    </w:r>
    <w:r w:rsidRPr="00661897">
      <w:rPr>
        <w:rStyle w:val="Nmerodepgina"/>
      </w:rPr>
      <w:fldChar w:fldCharType="separate"/>
    </w:r>
    <w:r w:rsidR="00B932AD">
      <w:rPr>
        <w:rStyle w:val="Nmerodepgina"/>
        <w:noProof/>
      </w:rPr>
      <w:t>1</w:t>
    </w:r>
    <w:r w:rsidRPr="00661897">
      <w:rPr>
        <w:rStyle w:val="Nmerodepgina"/>
      </w:rPr>
      <w:fldChar w:fldCharType="end"/>
    </w:r>
  </w:p>
  <w:p w:rsidR="00C9767B" w:rsidRDefault="00C9767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751" w:rsidRDefault="00662751">
      <w:r>
        <w:separator/>
      </w:r>
    </w:p>
  </w:footnote>
  <w:footnote w:type="continuationSeparator" w:id="0">
    <w:p w:rsidR="00662751" w:rsidRDefault="00662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7B" w:rsidRPr="0024736F" w:rsidRDefault="00C9767B" w:rsidP="001971A1">
    <w:pPr>
      <w:pStyle w:val="Encabezado"/>
      <w:jc w:val="right"/>
      <w:rPr>
        <w:sz w:val="4"/>
        <w:szCs w:val="4"/>
      </w:rPr>
    </w:pPr>
  </w:p>
  <w:p w:rsidR="00C9767B" w:rsidRPr="00D01989" w:rsidRDefault="007F56C1" w:rsidP="007F56C1">
    <w:pPr>
      <w:pStyle w:val="Encabezado"/>
      <w:jc w:val="center"/>
      <w:rPr>
        <w:sz w:val="14"/>
        <w:szCs w:val="14"/>
      </w:rPr>
    </w:pPr>
    <w:r>
      <w:rPr>
        <w:noProof/>
        <w:sz w:val="14"/>
        <w:szCs w:val="14"/>
        <w:lang w:val="es-ES"/>
      </w:rPr>
      <w:drawing>
        <wp:inline distT="0" distB="0" distL="0" distR="0" wp14:anchorId="2C77270B" wp14:editId="72218A51">
          <wp:extent cx="5112688" cy="1025792"/>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s_gv__jpg.jpg"/>
                  <pic:cNvPicPr/>
                </pic:nvPicPr>
                <pic:blipFill rotWithShape="1">
                  <a:blip r:embed="rId1" cstate="print">
                    <a:extLst>
                      <a:ext uri="{28A0092B-C50C-407E-A947-70E740481C1C}">
                        <a14:useLocalDpi xmlns:a14="http://schemas.microsoft.com/office/drawing/2010/main" val="0"/>
                      </a:ext>
                    </a:extLst>
                  </a:blip>
                  <a:srcRect t="35234" b="24673"/>
                  <a:stretch/>
                </pic:blipFill>
                <pic:spPr bwMode="auto">
                  <a:xfrm>
                    <a:off x="0" y="0"/>
                    <a:ext cx="5178511" cy="103899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707C2E"/>
    <w:lvl w:ilvl="0">
      <w:start w:val="1"/>
      <w:numFmt w:val="decimal"/>
      <w:lvlText w:val="%1."/>
      <w:lvlJc w:val="left"/>
      <w:pPr>
        <w:tabs>
          <w:tab w:val="num" w:pos="1492"/>
        </w:tabs>
        <w:ind w:left="1492" w:hanging="360"/>
      </w:pPr>
    </w:lvl>
  </w:abstractNum>
  <w:abstractNum w:abstractNumId="1">
    <w:nsid w:val="FFFFFF7D"/>
    <w:multiLevelType w:val="singleLevel"/>
    <w:tmpl w:val="8396A7C8"/>
    <w:lvl w:ilvl="0">
      <w:start w:val="1"/>
      <w:numFmt w:val="decimal"/>
      <w:lvlText w:val="%1."/>
      <w:lvlJc w:val="left"/>
      <w:pPr>
        <w:tabs>
          <w:tab w:val="num" w:pos="1209"/>
        </w:tabs>
        <w:ind w:left="1209" w:hanging="360"/>
      </w:pPr>
    </w:lvl>
  </w:abstractNum>
  <w:abstractNum w:abstractNumId="2">
    <w:nsid w:val="FFFFFF7E"/>
    <w:multiLevelType w:val="singleLevel"/>
    <w:tmpl w:val="E8C219FC"/>
    <w:lvl w:ilvl="0">
      <w:start w:val="1"/>
      <w:numFmt w:val="decimal"/>
      <w:lvlText w:val="%1."/>
      <w:lvlJc w:val="left"/>
      <w:pPr>
        <w:tabs>
          <w:tab w:val="num" w:pos="926"/>
        </w:tabs>
        <w:ind w:left="926" w:hanging="360"/>
      </w:pPr>
    </w:lvl>
  </w:abstractNum>
  <w:abstractNum w:abstractNumId="3">
    <w:nsid w:val="FFFFFF7F"/>
    <w:multiLevelType w:val="singleLevel"/>
    <w:tmpl w:val="0B9262CE"/>
    <w:lvl w:ilvl="0">
      <w:start w:val="1"/>
      <w:numFmt w:val="decimal"/>
      <w:lvlText w:val="%1."/>
      <w:lvlJc w:val="left"/>
      <w:pPr>
        <w:tabs>
          <w:tab w:val="num" w:pos="643"/>
        </w:tabs>
        <w:ind w:left="643" w:hanging="360"/>
      </w:pPr>
    </w:lvl>
  </w:abstractNum>
  <w:abstractNum w:abstractNumId="4">
    <w:nsid w:val="FFFFFF80"/>
    <w:multiLevelType w:val="singleLevel"/>
    <w:tmpl w:val="F9E689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55CC3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EB8EF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4E3C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B3E3BF4"/>
    <w:lvl w:ilvl="0">
      <w:start w:val="1"/>
      <w:numFmt w:val="decimal"/>
      <w:lvlText w:val="%1."/>
      <w:lvlJc w:val="left"/>
      <w:pPr>
        <w:tabs>
          <w:tab w:val="num" w:pos="360"/>
        </w:tabs>
        <w:ind w:left="360" w:hanging="360"/>
      </w:pPr>
    </w:lvl>
  </w:abstractNum>
  <w:abstractNum w:abstractNumId="9">
    <w:nsid w:val="FFFFFF89"/>
    <w:multiLevelType w:val="singleLevel"/>
    <w:tmpl w:val="62026834"/>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FFFFFFFF"/>
    <w:lvl w:ilvl="0">
      <w:start w:val="1"/>
      <w:numFmt w:val="decimal"/>
      <w:pStyle w:val="Ttulo1"/>
      <w:lvlText w:val="%1."/>
      <w:legacy w:legacy="1" w:legacySpace="144" w:legacyIndent="0"/>
      <w:lvlJc w:val="left"/>
      <w:pPr>
        <w:ind w:left="567" w:firstLine="0"/>
      </w:pPr>
    </w:lvl>
    <w:lvl w:ilvl="1">
      <w:start w:val="1"/>
      <w:numFmt w:val="decimal"/>
      <w:pStyle w:val="Ttulo2"/>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1">
    <w:nsid w:val="02716A34"/>
    <w:multiLevelType w:val="hybridMultilevel"/>
    <w:tmpl w:val="B1A219BE"/>
    <w:lvl w:ilvl="0" w:tplc="D2DA763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14D7A83"/>
    <w:multiLevelType w:val="hybridMultilevel"/>
    <w:tmpl w:val="FDF0A9F2"/>
    <w:lvl w:ilvl="0" w:tplc="4EAA68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4FC222F"/>
    <w:multiLevelType w:val="hybridMultilevel"/>
    <w:tmpl w:val="41664810"/>
    <w:lvl w:ilvl="0" w:tplc="E88491DA">
      <w:start w:val="1"/>
      <w:numFmt w:val="bullet"/>
      <w:lvlText w:val=""/>
      <w:lvlJc w:val="left"/>
      <w:pPr>
        <w:ind w:left="720" w:hanging="360"/>
      </w:pPr>
      <w:rPr>
        <w:rFonts w:ascii="Wingdings" w:hAnsi="Wingdings"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2854BAF"/>
    <w:multiLevelType w:val="hybridMultilevel"/>
    <w:tmpl w:val="1C56819E"/>
    <w:lvl w:ilvl="0" w:tplc="08A86D72">
      <w:start w:val="1"/>
      <w:numFmt w:val="decimal"/>
      <w:lvlText w:val="%1."/>
      <w:lvlJc w:val="left"/>
      <w:pPr>
        <w:ind w:left="720" w:hanging="360"/>
      </w:pPr>
      <w:rPr>
        <w:rFonts w:ascii="Arial" w:hAnsi="Arial" w:cs="Arial"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87C08C2"/>
    <w:multiLevelType w:val="hybridMultilevel"/>
    <w:tmpl w:val="18A82B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1CB5BD8"/>
    <w:multiLevelType w:val="hybridMultilevel"/>
    <w:tmpl w:val="14289A34"/>
    <w:lvl w:ilvl="0" w:tplc="6A12D0D6">
      <w:start w:val="1"/>
      <w:numFmt w:val="bullet"/>
      <w:lvlText w:val=""/>
      <w:lvlJc w:val="left"/>
      <w:pPr>
        <w:ind w:left="720" w:hanging="360"/>
      </w:pPr>
      <w:rPr>
        <w:rFonts w:ascii="Wingdings" w:hAnsi="Wingdings"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E961006"/>
    <w:multiLevelType w:val="hybridMultilevel"/>
    <w:tmpl w:val="FFCA8148"/>
    <w:lvl w:ilvl="0" w:tplc="4E3A6DE4">
      <w:start w:val="1"/>
      <w:numFmt w:val="bullet"/>
      <w:lvlText w:val=""/>
      <w:lvlJc w:val="left"/>
      <w:pPr>
        <w:ind w:left="720" w:hanging="360"/>
      </w:pPr>
      <w:rPr>
        <w:rFonts w:ascii="Wingdings" w:hAnsi="Wingdings" w:hint="default"/>
        <w:color w:val="44546A" w:themeColor="tex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3"/>
  </w:num>
  <w:num w:numId="14">
    <w:abstractNumId w:val="16"/>
  </w:num>
  <w:num w:numId="15">
    <w:abstractNumId w:val="12"/>
  </w:num>
  <w:num w:numId="16">
    <w:abstractNumId w:val="11"/>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activeWritingStyle w:appName="MSWord" w:lang="es-ES_tradnl" w:vendorID="9" w:dllVersion="512"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D4C"/>
    <w:rsid w:val="00014A51"/>
    <w:rsid w:val="00015450"/>
    <w:rsid w:val="00025025"/>
    <w:rsid w:val="000370B6"/>
    <w:rsid w:val="0005039B"/>
    <w:rsid w:val="000546EC"/>
    <w:rsid w:val="00060DA3"/>
    <w:rsid w:val="00076B77"/>
    <w:rsid w:val="000865ED"/>
    <w:rsid w:val="00095680"/>
    <w:rsid w:val="00095E0E"/>
    <w:rsid w:val="0009707D"/>
    <w:rsid w:val="000B7BE8"/>
    <w:rsid w:val="000C09B1"/>
    <w:rsid w:val="000C43BB"/>
    <w:rsid w:val="000D4139"/>
    <w:rsid w:val="000D7846"/>
    <w:rsid w:val="000E2D0D"/>
    <w:rsid w:val="000E31C5"/>
    <w:rsid w:val="000E4708"/>
    <w:rsid w:val="000E6FBD"/>
    <w:rsid w:val="000F14B0"/>
    <w:rsid w:val="00100EFB"/>
    <w:rsid w:val="0010406C"/>
    <w:rsid w:val="00107B00"/>
    <w:rsid w:val="00110122"/>
    <w:rsid w:val="001145E1"/>
    <w:rsid w:val="001259B2"/>
    <w:rsid w:val="00125D79"/>
    <w:rsid w:val="0013291D"/>
    <w:rsid w:val="00137006"/>
    <w:rsid w:val="00140E27"/>
    <w:rsid w:val="00150B9F"/>
    <w:rsid w:val="00153167"/>
    <w:rsid w:val="00161BAD"/>
    <w:rsid w:val="001627A8"/>
    <w:rsid w:val="00183CDB"/>
    <w:rsid w:val="00185251"/>
    <w:rsid w:val="00193350"/>
    <w:rsid w:val="001971A1"/>
    <w:rsid w:val="001A27DA"/>
    <w:rsid w:val="001B0C08"/>
    <w:rsid w:val="001B0E76"/>
    <w:rsid w:val="001C120A"/>
    <w:rsid w:val="001C3582"/>
    <w:rsid w:val="001C4C81"/>
    <w:rsid w:val="001D2124"/>
    <w:rsid w:val="001D6D53"/>
    <w:rsid w:val="001D6F3C"/>
    <w:rsid w:val="001E6568"/>
    <w:rsid w:val="001F2C89"/>
    <w:rsid w:val="002010AD"/>
    <w:rsid w:val="002051B9"/>
    <w:rsid w:val="00206649"/>
    <w:rsid w:val="00207D8B"/>
    <w:rsid w:val="002313CA"/>
    <w:rsid w:val="00234BBD"/>
    <w:rsid w:val="00241E0C"/>
    <w:rsid w:val="0024736F"/>
    <w:rsid w:val="00247B20"/>
    <w:rsid w:val="002545B9"/>
    <w:rsid w:val="002568B2"/>
    <w:rsid w:val="00265C8B"/>
    <w:rsid w:val="00267FAE"/>
    <w:rsid w:val="00270B0D"/>
    <w:rsid w:val="00270D5C"/>
    <w:rsid w:val="00272669"/>
    <w:rsid w:val="00275DCB"/>
    <w:rsid w:val="00280C7C"/>
    <w:rsid w:val="0028490A"/>
    <w:rsid w:val="00292FE9"/>
    <w:rsid w:val="00297F67"/>
    <w:rsid w:val="002A51EE"/>
    <w:rsid w:val="002B20BC"/>
    <w:rsid w:val="002B250E"/>
    <w:rsid w:val="002C5075"/>
    <w:rsid w:val="002C6A6F"/>
    <w:rsid w:val="002D1CAD"/>
    <w:rsid w:val="002E611B"/>
    <w:rsid w:val="002F06A7"/>
    <w:rsid w:val="00317DAA"/>
    <w:rsid w:val="003218B4"/>
    <w:rsid w:val="003218EE"/>
    <w:rsid w:val="003223AC"/>
    <w:rsid w:val="00325704"/>
    <w:rsid w:val="003311D5"/>
    <w:rsid w:val="0034642A"/>
    <w:rsid w:val="00373677"/>
    <w:rsid w:val="0037391F"/>
    <w:rsid w:val="0037685A"/>
    <w:rsid w:val="00380341"/>
    <w:rsid w:val="00382464"/>
    <w:rsid w:val="003843E3"/>
    <w:rsid w:val="0039053B"/>
    <w:rsid w:val="0039216C"/>
    <w:rsid w:val="00396616"/>
    <w:rsid w:val="003B7B90"/>
    <w:rsid w:val="003C1D9C"/>
    <w:rsid w:val="003C28D7"/>
    <w:rsid w:val="003D66BF"/>
    <w:rsid w:val="003E7BFE"/>
    <w:rsid w:val="00401E58"/>
    <w:rsid w:val="0040455A"/>
    <w:rsid w:val="00407B27"/>
    <w:rsid w:val="004104B0"/>
    <w:rsid w:val="00411501"/>
    <w:rsid w:val="00412962"/>
    <w:rsid w:val="0041297D"/>
    <w:rsid w:val="00450F3D"/>
    <w:rsid w:val="0046698A"/>
    <w:rsid w:val="00467F3B"/>
    <w:rsid w:val="0047082D"/>
    <w:rsid w:val="00483DF8"/>
    <w:rsid w:val="00484CB3"/>
    <w:rsid w:val="00486829"/>
    <w:rsid w:val="00497310"/>
    <w:rsid w:val="004978E0"/>
    <w:rsid w:val="004B3034"/>
    <w:rsid w:val="004B57B1"/>
    <w:rsid w:val="004C0849"/>
    <w:rsid w:val="004D3041"/>
    <w:rsid w:val="004D41FF"/>
    <w:rsid w:val="004D6A5C"/>
    <w:rsid w:val="004E46AB"/>
    <w:rsid w:val="004E7BE2"/>
    <w:rsid w:val="004F0D09"/>
    <w:rsid w:val="004F12FA"/>
    <w:rsid w:val="004F2B01"/>
    <w:rsid w:val="004F38BC"/>
    <w:rsid w:val="004F5132"/>
    <w:rsid w:val="00500244"/>
    <w:rsid w:val="005052CE"/>
    <w:rsid w:val="005124A2"/>
    <w:rsid w:val="00515417"/>
    <w:rsid w:val="005217CF"/>
    <w:rsid w:val="0053072D"/>
    <w:rsid w:val="00531B16"/>
    <w:rsid w:val="0053770D"/>
    <w:rsid w:val="00550FB8"/>
    <w:rsid w:val="005560A1"/>
    <w:rsid w:val="00561EC9"/>
    <w:rsid w:val="00565860"/>
    <w:rsid w:val="00571945"/>
    <w:rsid w:val="00582FB7"/>
    <w:rsid w:val="005910FE"/>
    <w:rsid w:val="005928D8"/>
    <w:rsid w:val="005A0EA2"/>
    <w:rsid w:val="005A1DEF"/>
    <w:rsid w:val="005A1EEF"/>
    <w:rsid w:val="005B33EB"/>
    <w:rsid w:val="005B6AC1"/>
    <w:rsid w:val="005C30B4"/>
    <w:rsid w:val="005D3C18"/>
    <w:rsid w:val="005E3C4F"/>
    <w:rsid w:val="00602C23"/>
    <w:rsid w:val="006059EF"/>
    <w:rsid w:val="00612EEE"/>
    <w:rsid w:val="00615306"/>
    <w:rsid w:val="00622BB7"/>
    <w:rsid w:val="00624CD3"/>
    <w:rsid w:val="00627F34"/>
    <w:rsid w:val="00632253"/>
    <w:rsid w:val="006332E9"/>
    <w:rsid w:val="0063510E"/>
    <w:rsid w:val="00640287"/>
    <w:rsid w:val="00644444"/>
    <w:rsid w:val="0064761F"/>
    <w:rsid w:val="0065105B"/>
    <w:rsid w:val="006545CA"/>
    <w:rsid w:val="00661897"/>
    <w:rsid w:val="00662751"/>
    <w:rsid w:val="00667A43"/>
    <w:rsid w:val="00671766"/>
    <w:rsid w:val="00675816"/>
    <w:rsid w:val="00680B98"/>
    <w:rsid w:val="00682727"/>
    <w:rsid w:val="00686335"/>
    <w:rsid w:val="00686668"/>
    <w:rsid w:val="00687961"/>
    <w:rsid w:val="00691D36"/>
    <w:rsid w:val="00694223"/>
    <w:rsid w:val="0069786B"/>
    <w:rsid w:val="006A058A"/>
    <w:rsid w:val="006A7299"/>
    <w:rsid w:val="006A76D4"/>
    <w:rsid w:val="006B3E8A"/>
    <w:rsid w:val="006B5A27"/>
    <w:rsid w:val="006C05E9"/>
    <w:rsid w:val="006C472A"/>
    <w:rsid w:val="006C6155"/>
    <w:rsid w:val="006D0BBF"/>
    <w:rsid w:val="006D451D"/>
    <w:rsid w:val="006F03B9"/>
    <w:rsid w:val="006F3931"/>
    <w:rsid w:val="006F40E3"/>
    <w:rsid w:val="006F615C"/>
    <w:rsid w:val="007108B6"/>
    <w:rsid w:val="00734DBC"/>
    <w:rsid w:val="0073725F"/>
    <w:rsid w:val="0074296C"/>
    <w:rsid w:val="00743270"/>
    <w:rsid w:val="00750D24"/>
    <w:rsid w:val="007511DD"/>
    <w:rsid w:val="0075225F"/>
    <w:rsid w:val="007533F1"/>
    <w:rsid w:val="00762A66"/>
    <w:rsid w:val="00763024"/>
    <w:rsid w:val="0076753A"/>
    <w:rsid w:val="0077356F"/>
    <w:rsid w:val="00775353"/>
    <w:rsid w:val="00777CBC"/>
    <w:rsid w:val="007809C9"/>
    <w:rsid w:val="0078185B"/>
    <w:rsid w:val="00783753"/>
    <w:rsid w:val="007840F3"/>
    <w:rsid w:val="00786701"/>
    <w:rsid w:val="00786849"/>
    <w:rsid w:val="0079418F"/>
    <w:rsid w:val="00797247"/>
    <w:rsid w:val="007A439B"/>
    <w:rsid w:val="007B37E4"/>
    <w:rsid w:val="007C6948"/>
    <w:rsid w:val="007D5D4C"/>
    <w:rsid w:val="007E7673"/>
    <w:rsid w:val="007F0765"/>
    <w:rsid w:val="007F41C7"/>
    <w:rsid w:val="007F56C1"/>
    <w:rsid w:val="008010FC"/>
    <w:rsid w:val="00807011"/>
    <w:rsid w:val="00820A4D"/>
    <w:rsid w:val="0082156B"/>
    <w:rsid w:val="00822CB6"/>
    <w:rsid w:val="00823601"/>
    <w:rsid w:val="008257C7"/>
    <w:rsid w:val="008258A3"/>
    <w:rsid w:val="008306D5"/>
    <w:rsid w:val="00830B93"/>
    <w:rsid w:val="00835277"/>
    <w:rsid w:val="00842651"/>
    <w:rsid w:val="00842EFD"/>
    <w:rsid w:val="00846099"/>
    <w:rsid w:val="00850B56"/>
    <w:rsid w:val="00855217"/>
    <w:rsid w:val="00863E9D"/>
    <w:rsid w:val="0086431F"/>
    <w:rsid w:val="00864AF4"/>
    <w:rsid w:val="00875B51"/>
    <w:rsid w:val="00884E2B"/>
    <w:rsid w:val="00895820"/>
    <w:rsid w:val="008A1C02"/>
    <w:rsid w:val="008B16B3"/>
    <w:rsid w:val="008B2576"/>
    <w:rsid w:val="008B5AA3"/>
    <w:rsid w:val="008C2217"/>
    <w:rsid w:val="008C3366"/>
    <w:rsid w:val="008C47E4"/>
    <w:rsid w:val="008C5420"/>
    <w:rsid w:val="008D6A6B"/>
    <w:rsid w:val="008E0DA7"/>
    <w:rsid w:val="00900A9B"/>
    <w:rsid w:val="009037DD"/>
    <w:rsid w:val="009075CD"/>
    <w:rsid w:val="00907BE7"/>
    <w:rsid w:val="00912DCC"/>
    <w:rsid w:val="00915557"/>
    <w:rsid w:val="00922429"/>
    <w:rsid w:val="00936B84"/>
    <w:rsid w:val="0093779B"/>
    <w:rsid w:val="00940AAB"/>
    <w:rsid w:val="009559D3"/>
    <w:rsid w:val="00972612"/>
    <w:rsid w:val="0097607A"/>
    <w:rsid w:val="0098483A"/>
    <w:rsid w:val="00987F51"/>
    <w:rsid w:val="00996D61"/>
    <w:rsid w:val="009A36DC"/>
    <w:rsid w:val="009B1EE4"/>
    <w:rsid w:val="009B2AC6"/>
    <w:rsid w:val="009B3AB4"/>
    <w:rsid w:val="009B6714"/>
    <w:rsid w:val="009B7DF7"/>
    <w:rsid w:val="009C4F76"/>
    <w:rsid w:val="009C5CB0"/>
    <w:rsid w:val="009C5EAA"/>
    <w:rsid w:val="009D0DEE"/>
    <w:rsid w:val="009D5398"/>
    <w:rsid w:val="009E3AD8"/>
    <w:rsid w:val="009F489F"/>
    <w:rsid w:val="009F5378"/>
    <w:rsid w:val="00A04C3E"/>
    <w:rsid w:val="00A1232D"/>
    <w:rsid w:val="00A12521"/>
    <w:rsid w:val="00A14DEB"/>
    <w:rsid w:val="00A14F13"/>
    <w:rsid w:val="00A2383E"/>
    <w:rsid w:val="00A34121"/>
    <w:rsid w:val="00A42D83"/>
    <w:rsid w:val="00A42D85"/>
    <w:rsid w:val="00A5163B"/>
    <w:rsid w:val="00A543C3"/>
    <w:rsid w:val="00A63D8F"/>
    <w:rsid w:val="00A714E2"/>
    <w:rsid w:val="00A8405C"/>
    <w:rsid w:val="00A84A7F"/>
    <w:rsid w:val="00A93C0E"/>
    <w:rsid w:val="00AA4192"/>
    <w:rsid w:val="00AC002D"/>
    <w:rsid w:val="00AD0F4C"/>
    <w:rsid w:val="00AE5E46"/>
    <w:rsid w:val="00B01729"/>
    <w:rsid w:val="00B01CFB"/>
    <w:rsid w:val="00B01E2D"/>
    <w:rsid w:val="00B06A4A"/>
    <w:rsid w:val="00B12035"/>
    <w:rsid w:val="00B26373"/>
    <w:rsid w:val="00B332CD"/>
    <w:rsid w:val="00B42445"/>
    <w:rsid w:val="00B54633"/>
    <w:rsid w:val="00B61D8D"/>
    <w:rsid w:val="00B63B6E"/>
    <w:rsid w:val="00B6403B"/>
    <w:rsid w:val="00B807A7"/>
    <w:rsid w:val="00B82D44"/>
    <w:rsid w:val="00B90390"/>
    <w:rsid w:val="00B932AD"/>
    <w:rsid w:val="00B94871"/>
    <w:rsid w:val="00BB6466"/>
    <w:rsid w:val="00BC1B7B"/>
    <w:rsid w:val="00BC2CA6"/>
    <w:rsid w:val="00BC3D34"/>
    <w:rsid w:val="00BC3F46"/>
    <w:rsid w:val="00BC4117"/>
    <w:rsid w:val="00BE4474"/>
    <w:rsid w:val="00BE66A2"/>
    <w:rsid w:val="00C04295"/>
    <w:rsid w:val="00C054B7"/>
    <w:rsid w:val="00C0752A"/>
    <w:rsid w:val="00C11057"/>
    <w:rsid w:val="00C12B88"/>
    <w:rsid w:val="00C131A6"/>
    <w:rsid w:val="00C17C3F"/>
    <w:rsid w:val="00C2137D"/>
    <w:rsid w:val="00C302E3"/>
    <w:rsid w:val="00C54F41"/>
    <w:rsid w:val="00C66EAF"/>
    <w:rsid w:val="00C801CC"/>
    <w:rsid w:val="00C842C0"/>
    <w:rsid w:val="00C84D57"/>
    <w:rsid w:val="00C95B29"/>
    <w:rsid w:val="00C95CD6"/>
    <w:rsid w:val="00C9767B"/>
    <w:rsid w:val="00CA4E1E"/>
    <w:rsid w:val="00CB2A7D"/>
    <w:rsid w:val="00CB56B6"/>
    <w:rsid w:val="00CC3465"/>
    <w:rsid w:val="00CC6E56"/>
    <w:rsid w:val="00CF409D"/>
    <w:rsid w:val="00D01989"/>
    <w:rsid w:val="00D043D4"/>
    <w:rsid w:val="00D10760"/>
    <w:rsid w:val="00D14405"/>
    <w:rsid w:val="00D15111"/>
    <w:rsid w:val="00D232B4"/>
    <w:rsid w:val="00D25481"/>
    <w:rsid w:val="00D30E21"/>
    <w:rsid w:val="00D3222C"/>
    <w:rsid w:val="00D32944"/>
    <w:rsid w:val="00D366E9"/>
    <w:rsid w:val="00D37724"/>
    <w:rsid w:val="00D45891"/>
    <w:rsid w:val="00D47DDB"/>
    <w:rsid w:val="00D657D2"/>
    <w:rsid w:val="00D733D6"/>
    <w:rsid w:val="00D75CFD"/>
    <w:rsid w:val="00D85CF5"/>
    <w:rsid w:val="00D9349A"/>
    <w:rsid w:val="00DA37DB"/>
    <w:rsid w:val="00DA6A70"/>
    <w:rsid w:val="00DB3239"/>
    <w:rsid w:val="00DB404B"/>
    <w:rsid w:val="00DC1600"/>
    <w:rsid w:val="00DE08DB"/>
    <w:rsid w:val="00DE0DA2"/>
    <w:rsid w:val="00DE304A"/>
    <w:rsid w:val="00DE4CE6"/>
    <w:rsid w:val="00E31F38"/>
    <w:rsid w:val="00E338F9"/>
    <w:rsid w:val="00E41A1B"/>
    <w:rsid w:val="00E43C26"/>
    <w:rsid w:val="00E44DFB"/>
    <w:rsid w:val="00E551CA"/>
    <w:rsid w:val="00E606B6"/>
    <w:rsid w:val="00E751C6"/>
    <w:rsid w:val="00E76610"/>
    <w:rsid w:val="00E90FDE"/>
    <w:rsid w:val="00EB15E5"/>
    <w:rsid w:val="00EB733B"/>
    <w:rsid w:val="00EC4A9D"/>
    <w:rsid w:val="00EC7A73"/>
    <w:rsid w:val="00EF035E"/>
    <w:rsid w:val="00EF3B82"/>
    <w:rsid w:val="00EF490E"/>
    <w:rsid w:val="00EF5170"/>
    <w:rsid w:val="00F02AE3"/>
    <w:rsid w:val="00F03C6A"/>
    <w:rsid w:val="00F05139"/>
    <w:rsid w:val="00F07E09"/>
    <w:rsid w:val="00F11893"/>
    <w:rsid w:val="00F20003"/>
    <w:rsid w:val="00F314C5"/>
    <w:rsid w:val="00F378F6"/>
    <w:rsid w:val="00F51EBF"/>
    <w:rsid w:val="00F531A9"/>
    <w:rsid w:val="00F72275"/>
    <w:rsid w:val="00F804BD"/>
    <w:rsid w:val="00F84745"/>
    <w:rsid w:val="00F915E5"/>
    <w:rsid w:val="00F97DF0"/>
    <w:rsid w:val="00FA0498"/>
    <w:rsid w:val="00FA2421"/>
    <w:rsid w:val="00FA25C5"/>
    <w:rsid w:val="00FA6EDE"/>
    <w:rsid w:val="00FB2615"/>
    <w:rsid w:val="00FB3D02"/>
    <w:rsid w:val="00FB4C35"/>
    <w:rsid w:val="00FB52A5"/>
    <w:rsid w:val="00FC0A8E"/>
    <w:rsid w:val="00FC7C8F"/>
    <w:rsid w:val="00FE5158"/>
    <w:rsid w:val="00FF751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04B"/>
    <w:pPr>
      <w:jc w:val="both"/>
    </w:pPr>
    <w:rPr>
      <w:rFonts w:ascii="Lucida Sans" w:hAnsi="Lucida Sans"/>
      <w:lang w:val="es-ES_tradnl"/>
    </w:rPr>
  </w:style>
  <w:style w:type="paragraph" w:styleId="Ttulo1">
    <w:name w:val="heading 1"/>
    <w:basedOn w:val="Normal"/>
    <w:next w:val="Normal"/>
    <w:qFormat/>
    <w:rsid w:val="00842651"/>
    <w:pPr>
      <w:keepNext/>
      <w:numPr>
        <w:numId w:val="1"/>
      </w:numPr>
      <w:spacing w:before="60" w:after="60"/>
      <w:ind w:hanging="567"/>
      <w:outlineLvl w:val="0"/>
    </w:pPr>
    <w:rPr>
      <w:b/>
      <w:caps/>
      <w:kern w:val="28"/>
    </w:rPr>
  </w:style>
  <w:style w:type="paragraph" w:styleId="Ttulo2">
    <w:name w:val="heading 2"/>
    <w:basedOn w:val="Normal"/>
    <w:next w:val="Normal"/>
    <w:qFormat/>
    <w:pPr>
      <w:keepNext/>
      <w:numPr>
        <w:ilvl w:val="1"/>
        <w:numId w:val="1"/>
      </w:numPr>
      <w:spacing w:before="60" w:after="60"/>
      <w:ind w:left="567" w:hanging="567"/>
      <w:outlineLvl w:val="1"/>
    </w:pPr>
    <w:rPr>
      <w:b/>
      <w:smallCaps/>
    </w:rPr>
  </w:style>
  <w:style w:type="paragraph" w:styleId="Ttulo3">
    <w:name w:val="heading 3"/>
    <w:basedOn w:val="Normal"/>
    <w:next w:val="Normal"/>
    <w:qFormat/>
    <w:pPr>
      <w:keepNext/>
      <w:numPr>
        <w:ilvl w:val="2"/>
        <w:numId w:val="1"/>
      </w:numPr>
      <w:spacing w:before="60" w:after="60"/>
      <w:ind w:left="567" w:hanging="567"/>
      <w:outlineLvl w:val="2"/>
    </w:pPr>
    <w:rPr>
      <w:b/>
    </w:rPr>
  </w:style>
  <w:style w:type="paragraph" w:styleId="Ttulo4">
    <w:name w:val="heading 4"/>
    <w:basedOn w:val="Normal"/>
    <w:next w:val="Normal"/>
    <w:qFormat/>
    <w:pPr>
      <w:keepNext/>
      <w:numPr>
        <w:ilvl w:val="3"/>
        <w:numId w:val="1"/>
      </w:numPr>
      <w:spacing w:before="60" w:after="60"/>
      <w:ind w:left="567" w:hanging="567"/>
      <w:outlineLvl w:val="3"/>
    </w:pPr>
    <w:rPr>
      <w:b/>
    </w:rPr>
  </w:style>
  <w:style w:type="paragraph" w:styleId="Ttulo5">
    <w:name w:val="heading 5"/>
    <w:basedOn w:val="Normal"/>
    <w:next w:val="Normal"/>
    <w:qFormat/>
    <w:pPr>
      <w:numPr>
        <w:ilvl w:val="4"/>
        <w:numId w:val="1"/>
      </w:numPr>
      <w:spacing w:before="60" w:after="60"/>
      <w:outlineLvl w:val="4"/>
    </w:pPr>
    <w:rPr>
      <w:b/>
    </w:rPr>
  </w:style>
  <w:style w:type="paragraph" w:styleId="Ttulo6">
    <w:name w:val="heading 6"/>
    <w:basedOn w:val="Normal"/>
    <w:next w:val="Normal"/>
    <w:qFormat/>
    <w:rsid w:val="00DB404B"/>
    <w:pPr>
      <w:numPr>
        <w:ilvl w:val="5"/>
        <w:numId w:val="1"/>
      </w:numPr>
      <w:spacing w:before="240" w:after="60"/>
      <w:outlineLvl w:val="5"/>
    </w:pPr>
    <w:rPr>
      <w:i/>
    </w:rPr>
  </w:style>
  <w:style w:type="paragraph" w:styleId="Ttulo7">
    <w:name w:val="heading 7"/>
    <w:basedOn w:val="Normal"/>
    <w:next w:val="Normal"/>
    <w:qFormat/>
    <w:rsid w:val="00DB404B"/>
    <w:pPr>
      <w:numPr>
        <w:ilvl w:val="6"/>
        <w:numId w:val="1"/>
      </w:numPr>
      <w:spacing w:before="240" w:after="60"/>
      <w:outlineLvl w:val="6"/>
    </w:pPr>
  </w:style>
  <w:style w:type="paragraph" w:styleId="Ttulo8">
    <w:name w:val="heading 8"/>
    <w:basedOn w:val="Normal"/>
    <w:next w:val="Normal"/>
    <w:qFormat/>
    <w:pPr>
      <w:numPr>
        <w:ilvl w:val="7"/>
        <w:numId w:val="1"/>
      </w:numPr>
      <w:spacing w:before="240" w:after="60"/>
      <w:outlineLvl w:val="7"/>
    </w:pPr>
    <w:rPr>
      <w:rFonts w:ascii="Arial" w:hAnsi="Arial"/>
      <w:i/>
    </w:rPr>
  </w:style>
  <w:style w:type="paragraph" w:styleId="Ttulo9">
    <w:name w:val="heading 9"/>
    <w:basedOn w:val="Normal"/>
    <w:next w:val="Normal"/>
    <w:qFormat/>
    <w:rsid w:val="00DB404B"/>
    <w:pPr>
      <w:numPr>
        <w:ilvl w:val="8"/>
        <w:numId w:val="1"/>
      </w:numPr>
      <w:spacing w:before="240" w:after="60"/>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paragraph" w:styleId="TDC1">
    <w:name w:val="toc 1"/>
    <w:basedOn w:val="Normal"/>
    <w:next w:val="Normal"/>
    <w:semiHidden/>
    <w:pPr>
      <w:tabs>
        <w:tab w:val="right" w:leader="dot" w:pos="9027"/>
      </w:tabs>
    </w:pPr>
    <w:rPr>
      <w:caps/>
    </w:rPr>
  </w:style>
  <w:style w:type="paragraph" w:styleId="TDC2">
    <w:name w:val="toc 2"/>
    <w:basedOn w:val="Normal"/>
    <w:next w:val="Normal"/>
    <w:semiHidden/>
    <w:pPr>
      <w:tabs>
        <w:tab w:val="right" w:leader="dot" w:pos="9027"/>
      </w:tabs>
      <w:ind w:left="240"/>
    </w:pPr>
    <w:rPr>
      <w:smallCaps/>
    </w:rPr>
  </w:style>
  <w:style w:type="paragraph" w:styleId="TDC3">
    <w:name w:val="toc 3"/>
    <w:basedOn w:val="Normal"/>
    <w:next w:val="Normal"/>
    <w:semiHidden/>
    <w:pPr>
      <w:tabs>
        <w:tab w:val="right" w:leader="dot" w:pos="9027"/>
      </w:tabs>
      <w:ind w:left="480"/>
    </w:pPr>
  </w:style>
  <w:style w:type="paragraph" w:styleId="TDC4">
    <w:name w:val="toc 4"/>
    <w:basedOn w:val="Normal"/>
    <w:next w:val="Normal"/>
    <w:semiHidden/>
    <w:pPr>
      <w:tabs>
        <w:tab w:val="right" w:leader="dot" w:pos="9027"/>
      </w:tabs>
      <w:ind w:left="720"/>
    </w:pPr>
  </w:style>
  <w:style w:type="paragraph" w:styleId="TDC5">
    <w:name w:val="toc 5"/>
    <w:basedOn w:val="Normal"/>
    <w:next w:val="Normal"/>
    <w:semiHidden/>
    <w:pPr>
      <w:tabs>
        <w:tab w:val="right" w:leader="dot" w:pos="9027"/>
      </w:tabs>
      <w:ind w:left="960"/>
    </w:pPr>
  </w:style>
  <w:style w:type="table" w:styleId="Tablaconcuadrcula">
    <w:name w:val="Table Grid"/>
    <w:basedOn w:val="Tablanormal"/>
    <w:rsid w:val="0064761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DB404B"/>
    <w:rPr>
      <w:rFonts w:ascii="Lucida Sans" w:hAnsi="Lucida Sans"/>
      <w:sz w:val="20"/>
    </w:rPr>
  </w:style>
  <w:style w:type="paragraph" w:styleId="Encabezado">
    <w:name w:val="header"/>
    <w:basedOn w:val="Normal"/>
    <w:pPr>
      <w:tabs>
        <w:tab w:val="center" w:pos="4252"/>
        <w:tab w:val="right" w:pos="8504"/>
      </w:tabs>
    </w:pPr>
  </w:style>
  <w:style w:type="paragraph" w:styleId="Textonotapie">
    <w:name w:val="footnote text"/>
    <w:basedOn w:val="Normal"/>
    <w:semiHidden/>
  </w:style>
  <w:style w:type="character" w:styleId="Refdenotaalpie">
    <w:name w:val="footnote reference"/>
    <w:basedOn w:val="Fuentedeprrafopredeter"/>
    <w:semiHidden/>
    <w:rPr>
      <w:vertAlign w:val="superscript"/>
    </w:rPr>
  </w:style>
  <w:style w:type="paragraph" w:styleId="Textodeglobo">
    <w:name w:val="Balloon Text"/>
    <w:basedOn w:val="Normal"/>
    <w:link w:val="TextodegloboCar"/>
    <w:rsid w:val="00D10760"/>
    <w:rPr>
      <w:rFonts w:ascii="Tahoma" w:hAnsi="Tahoma" w:cs="Tahoma"/>
      <w:sz w:val="16"/>
      <w:szCs w:val="16"/>
    </w:rPr>
  </w:style>
  <w:style w:type="character" w:customStyle="1" w:styleId="TextodegloboCar">
    <w:name w:val="Texto de globo Car"/>
    <w:basedOn w:val="Fuentedeprrafopredeter"/>
    <w:link w:val="Textodeglobo"/>
    <w:rsid w:val="00D10760"/>
    <w:rPr>
      <w:rFonts w:ascii="Tahoma" w:hAnsi="Tahoma" w:cs="Tahoma"/>
      <w:sz w:val="16"/>
      <w:szCs w:val="16"/>
      <w:lang w:val="es-ES_tradnl"/>
    </w:rPr>
  </w:style>
  <w:style w:type="paragraph" w:styleId="Prrafodelista">
    <w:name w:val="List Paragraph"/>
    <w:basedOn w:val="Normal"/>
    <w:uiPriority w:val="34"/>
    <w:qFormat/>
    <w:rsid w:val="00640287"/>
    <w:pPr>
      <w:ind w:left="720"/>
      <w:contextualSpacing/>
    </w:pPr>
  </w:style>
  <w:style w:type="character" w:styleId="Hipervnculo">
    <w:name w:val="Hyperlink"/>
    <w:basedOn w:val="Fuentedeprrafopredeter"/>
    <w:uiPriority w:val="99"/>
    <w:unhideWhenUsed/>
    <w:rsid w:val="002B20B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04B"/>
    <w:pPr>
      <w:jc w:val="both"/>
    </w:pPr>
    <w:rPr>
      <w:rFonts w:ascii="Lucida Sans" w:hAnsi="Lucida Sans"/>
      <w:lang w:val="es-ES_tradnl"/>
    </w:rPr>
  </w:style>
  <w:style w:type="paragraph" w:styleId="Ttulo1">
    <w:name w:val="heading 1"/>
    <w:basedOn w:val="Normal"/>
    <w:next w:val="Normal"/>
    <w:qFormat/>
    <w:rsid w:val="00842651"/>
    <w:pPr>
      <w:keepNext/>
      <w:numPr>
        <w:numId w:val="1"/>
      </w:numPr>
      <w:spacing w:before="60" w:after="60"/>
      <w:ind w:hanging="567"/>
      <w:outlineLvl w:val="0"/>
    </w:pPr>
    <w:rPr>
      <w:b/>
      <w:caps/>
      <w:kern w:val="28"/>
    </w:rPr>
  </w:style>
  <w:style w:type="paragraph" w:styleId="Ttulo2">
    <w:name w:val="heading 2"/>
    <w:basedOn w:val="Normal"/>
    <w:next w:val="Normal"/>
    <w:qFormat/>
    <w:pPr>
      <w:keepNext/>
      <w:numPr>
        <w:ilvl w:val="1"/>
        <w:numId w:val="1"/>
      </w:numPr>
      <w:spacing w:before="60" w:after="60"/>
      <w:ind w:left="567" w:hanging="567"/>
      <w:outlineLvl w:val="1"/>
    </w:pPr>
    <w:rPr>
      <w:b/>
      <w:smallCaps/>
    </w:rPr>
  </w:style>
  <w:style w:type="paragraph" w:styleId="Ttulo3">
    <w:name w:val="heading 3"/>
    <w:basedOn w:val="Normal"/>
    <w:next w:val="Normal"/>
    <w:qFormat/>
    <w:pPr>
      <w:keepNext/>
      <w:numPr>
        <w:ilvl w:val="2"/>
        <w:numId w:val="1"/>
      </w:numPr>
      <w:spacing w:before="60" w:after="60"/>
      <w:ind w:left="567" w:hanging="567"/>
      <w:outlineLvl w:val="2"/>
    </w:pPr>
    <w:rPr>
      <w:b/>
    </w:rPr>
  </w:style>
  <w:style w:type="paragraph" w:styleId="Ttulo4">
    <w:name w:val="heading 4"/>
    <w:basedOn w:val="Normal"/>
    <w:next w:val="Normal"/>
    <w:qFormat/>
    <w:pPr>
      <w:keepNext/>
      <w:numPr>
        <w:ilvl w:val="3"/>
        <w:numId w:val="1"/>
      </w:numPr>
      <w:spacing w:before="60" w:after="60"/>
      <w:ind w:left="567" w:hanging="567"/>
      <w:outlineLvl w:val="3"/>
    </w:pPr>
    <w:rPr>
      <w:b/>
    </w:rPr>
  </w:style>
  <w:style w:type="paragraph" w:styleId="Ttulo5">
    <w:name w:val="heading 5"/>
    <w:basedOn w:val="Normal"/>
    <w:next w:val="Normal"/>
    <w:qFormat/>
    <w:pPr>
      <w:numPr>
        <w:ilvl w:val="4"/>
        <w:numId w:val="1"/>
      </w:numPr>
      <w:spacing w:before="60" w:after="60"/>
      <w:outlineLvl w:val="4"/>
    </w:pPr>
    <w:rPr>
      <w:b/>
    </w:rPr>
  </w:style>
  <w:style w:type="paragraph" w:styleId="Ttulo6">
    <w:name w:val="heading 6"/>
    <w:basedOn w:val="Normal"/>
    <w:next w:val="Normal"/>
    <w:qFormat/>
    <w:rsid w:val="00DB404B"/>
    <w:pPr>
      <w:numPr>
        <w:ilvl w:val="5"/>
        <w:numId w:val="1"/>
      </w:numPr>
      <w:spacing w:before="240" w:after="60"/>
      <w:outlineLvl w:val="5"/>
    </w:pPr>
    <w:rPr>
      <w:i/>
    </w:rPr>
  </w:style>
  <w:style w:type="paragraph" w:styleId="Ttulo7">
    <w:name w:val="heading 7"/>
    <w:basedOn w:val="Normal"/>
    <w:next w:val="Normal"/>
    <w:qFormat/>
    <w:rsid w:val="00DB404B"/>
    <w:pPr>
      <w:numPr>
        <w:ilvl w:val="6"/>
        <w:numId w:val="1"/>
      </w:numPr>
      <w:spacing w:before="240" w:after="60"/>
      <w:outlineLvl w:val="6"/>
    </w:pPr>
  </w:style>
  <w:style w:type="paragraph" w:styleId="Ttulo8">
    <w:name w:val="heading 8"/>
    <w:basedOn w:val="Normal"/>
    <w:next w:val="Normal"/>
    <w:qFormat/>
    <w:pPr>
      <w:numPr>
        <w:ilvl w:val="7"/>
        <w:numId w:val="1"/>
      </w:numPr>
      <w:spacing w:before="240" w:after="60"/>
      <w:outlineLvl w:val="7"/>
    </w:pPr>
    <w:rPr>
      <w:rFonts w:ascii="Arial" w:hAnsi="Arial"/>
      <w:i/>
    </w:rPr>
  </w:style>
  <w:style w:type="paragraph" w:styleId="Ttulo9">
    <w:name w:val="heading 9"/>
    <w:basedOn w:val="Normal"/>
    <w:next w:val="Normal"/>
    <w:qFormat/>
    <w:rsid w:val="00DB404B"/>
    <w:pPr>
      <w:numPr>
        <w:ilvl w:val="8"/>
        <w:numId w:val="1"/>
      </w:numPr>
      <w:spacing w:before="240" w:after="60"/>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paragraph" w:styleId="TDC1">
    <w:name w:val="toc 1"/>
    <w:basedOn w:val="Normal"/>
    <w:next w:val="Normal"/>
    <w:semiHidden/>
    <w:pPr>
      <w:tabs>
        <w:tab w:val="right" w:leader="dot" w:pos="9027"/>
      </w:tabs>
    </w:pPr>
    <w:rPr>
      <w:caps/>
    </w:rPr>
  </w:style>
  <w:style w:type="paragraph" w:styleId="TDC2">
    <w:name w:val="toc 2"/>
    <w:basedOn w:val="Normal"/>
    <w:next w:val="Normal"/>
    <w:semiHidden/>
    <w:pPr>
      <w:tabs>
        <w:tab w:val="right" w:leader="dot" w:pos="9027"/>
      </w:tabs>
      <w:ind w:left="240"/>
    </w:pPr>
    <w:rPr>
      <w:smallCaps/>
    </w:rPr>
  </w:style>
  <w:style w:type="paragraph" w:styleId="TDC3">
    <w:name w:val="toc 3"/>
    <w:basedOn w:val="Normal"/>
    <w:next w:val="Normal"/>
    <w:semiHidden/>
    <w:pPr>
      <w:tabs>
        <w:tab w:val="right" w:leader="dot" w:pos="9027"/>
      </w:tabs>
      <w:ind w:left="480"/>
    </w:pPr>
  </w:style>
  <w:style w:type="paragraph" w:styleId="TDC4">
    <w:name w:val="toc 4"/>
    <w:basedOn w:val="Normal"/>
    <w:next w:val="Normal"/>
    <w:semiHidden/>
    <w:pPr>
      <w:tabs>
        <w:tab w:val="right" w:leader="dot" w:pos="9027"/>
      </w:tabs>
      <w:ind w:left="720"/>
    </w:pPr>
  </w:style>
  <w:style w:type="paragraph" w:styleId="TDC5">
    <w:name w:val="toc 5"/>
    <w:basedOn w:val="Normal"/>
    <w:next w:val="Normal"/>
    <w:semiHidden/>
    <w:pPr>
      <w:tabs>
        <w:tab w:val="right" w:leader="dot" w:pos="9027"/>
      </w:tabs>
      <w:ind w:left="960"/>
    </w:pPr>
  </w:style>
  <w:style w:type="table" w:styleId="Tablaconcuadrcula">
    <w:name w:val="Table Grid"/>
    <w:basedOn w:val="Tablanormal"/>
    <w:rsid w:val="0064761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DB404B"/>
    <w:rPr>
      <w:rFonts w:ascii="Lucida Sans" w:hAnsi="Lucida Sans"/>
      <w:sz w:val="20"/>
    </w:rPr>
  </w:style>
  <w:style w:type="paragraph" w:styleId="Encabezado">
    <w:name w:val="header"/>
    <w:basedOn w:val="Normal"/>
    <w:pPr>
      <w:tabs>
        <w:tab w:val="center" w:pos="4252"/>
        <w:tab w:val="right" w:pos="8504"/>
      </w:tabs>
    </w:pPr>
  </w:style>
  <w:style w:type="paragraph" w:styleId="Textonotapie">
    <w:name w:val="footnote text"/>
    <w:basedOn w:val="Normal"/>
    <w:semiHidden/>
  </w:style>
  <w:style w:type="character" w:styleId="Refdenotaalpie">
    <w:name w:val="footnote reference"/>
    <w:basedOn w:val="Fuentedeprrafopredeter"/>
    <w:semiHidden/>
    <w:rPr>
      <w:vertAlign w:val="superscript"/>
    </w:rPr>
  </w:style>
  <w:style w:type="paragraph" w:styleId="Textodeglobo">
    <w:name w:val="Balloon Text"/>
    <w:basedOn w:val="Normal"/>
    <w:link w:val="TextodegloboCar"/>
    <w:rsid w:val="00D10760"/>
    <w:rPr>
      <w:rFonts w:ascii="Tahoma" w:hAnsi="Tahoma" w:cs="Tahoma"/>
      <w:sz w:val="16"/>
      <w:szCs w:val="16"/>
    </w:rPr>
  </w:style>
  <w:style w:type="character" w:customStyle="1" w:styleId="TextodegloboCar">
    <w:name w:val="Texto de globo Car"/>
    <w:basedOn w:val="Fuentedeprrafopredeter"/>
    <w:link w:val="Textodeglobo"/>
    <w:rsid w:val="00D10760"/>
    <w:rPr>
      <w:rFonts w:ascii="Tahoma" w:hAnsi="Tahoma" w:cs="Tahoma"/>
      <w:sz w:val="16"/>
      <w:szCs w:val="16"/>
      <w:lang w:val="es-ES_tradnl"/>
    </w:rPr>
  </w:style>
  <w:style w:type="paragraph" w:styleId="Prrafodelista">
    <w:name w:val="List Paragraph"/>
    <w:basedOn w:val="Normal"/>
    <w:uiPriority w:val="34"/>
    <w:qFormat/>
    <w:rsid w:val="00640287"/>
    <w:pPr>
      <w:ind w:left="720"/>
      <w:contextualSpacing/>
    </w:pPr>
  </w:style>
  <w:style w:type="character" w:styleId="Hipervnculo">
    <w:name w:val="Hyperlink"/>
    <w:basedOn w:val="Fuentedeprrafopredeter"/>
    <w:uiPriority w:val="99"/>
    <w:unhideWhenUsed/>
    <w:rsid w:val="002B20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68851">
      <w:bodyDiv w:val="1"/>
      <w:marLeft w:val="0"/>
      <w:marRight w:val="0"/>
      <w:marTop w:val="0"/>
      <w:marBottom w:val="0"/>
      <w:divBdr>
        <w:top w:val="none" w:sz="0" w:space="0" w:color="auto"/>
        <w:left w:val="none" w:sz="0" w:space="0" w:color="auto"/>
        <w:bottom w:val="none" w:sz="0" w:space="0" w:color="auto"/>
        <w:right w:val="none" w:sz="0" w:space="0" w:color="auto"/>
      </w:divBdr>
    </w:div>
    <w:div w:id="477117256">
      <w:bodyDiv w:val="1"/>
      <w:marLeft w:val="0"/>
      <w:marRight w:val="0"/>
      <w:marTop w:val="0"/>
      <w:marBottom w:val="0"/>
      <w:divBdr>
        <w:top w:val="none" w:sz="0" w:space="0" w:color="auto"/>
        <w:left w:val="none" w:sz="0" w:space="0" w:color="auto"/>
        <w:bottom w:val="none" w:sz="0" w:space="0" w:color="auto"/>
        <w:right w:val="none" w:sz="0" w:space="0" w:color="auto"/>
      </w:divBdr>
    </w:div>
    <w:div w:id="779564767">
      <w:bodyDiv w:val="1"/>
      <w:marLeft w:val="0"/>
      <w:marRight w:val="0"/>
      <w:marTop w:val="0"/>
      <w:marBottom w:val="0"/>
      <w:divBdr>
        <w:top w:val="none" w:sz="0" w:space="0" w:color="auto"/>
        <w:left w:val="none" w:sz="0" w:space="0" w:color="auto"/>
        <w:bottom w:val="none" w:sz="0" w:space="0" w:color="auto"/>
        <w:right w:val="none" w:sz="0" w:space="0" w:color="auto"/>
      </w:divBdr>
    </w:div>
    <w:div w:id="200004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1171</Words>
  <Characters>6444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NP Glefaran_EU</vt:lpstr>
    </vt:vector>
  </TitlesOfParts>
  <Company>EJIE</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 Glefaran_EU</dc:title>
  <dc:subject>PRO17-</dc:subject>
  <dc:creator>BITEZ SL |  Anaje Sarriegi</dc:creator>
  <cp:lastModifiedBy>Arpon Sadaba, Laura</cp:lastModifiedBy>
  <cp:revision>8</cp:revision>
  <cp:lastPrinted>2017-01-30T17:51:00Z</cp:lastPrinted>
  <dcterms:created xsi:type="dcterms:W3CDTF">2017-11-06T15:14:00Z</dcterms:created>
  <dcterms:modified xsi:type="dcterms:W3CDTF">2017-11-07T13:18:00Z</dcterms:modified>
</cp:coreProperties>
</file>